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590" w:type="dxa"/>
        <w:tblLayout w:type="fixed"/>
        <w:tblCellMar>
          <w:left w:w="177" w:type="dxa"/>
          <w:right w:w="177" w:type="dxa"/>
        </w:tblCellMar>
        <w:tblLook w:val="0000" w:firstRow="0" w:lastRow="0" w:firstColumn="0" w:lastColumn="0" w:noHBand="0" w:noVBand="0"/>
      </w:tblPr>
      <w:tblGrid>
        <w:gridCol w:w="2835"/>
        <w:gridCol w:w="7938"/>
      </w:tblGrid>
      <w:tr w:rsidR="008241C1" w:rsidRPr="008241C1" w14:paraId="7BBB5B99" w14:textId="77777777" w:rsidTr="003C0350">
        <w:trPr>
          <w:trHeight w:val="216"/>
        </w:trPr>
        <w:tc>
          <w:tcPr>
            <w:tcW w:w="10773" w:type="dxa"/>
            <w:gridSpan w:val="2"/>
            <w:tcBorders>
              <w:top w:val="double" w:sz="6" w:space="0" w:color="auto"/>
              <w:left w:val="double" w:sz="6" w:space="0" w:color="auto"/>
              <w:bottom w:val="double" w:sz="6" w:space="0" w:color="auto"/>
              <w:right w:val="double" w:sz="6" w:space="0" w:color="auto"/>
            </w:tcBorders>
            <w:shd w:val="clear" w:color="auto" w:fill="E6E6E6"/>
          </w:tcPr>
          <w:p w14:paraId="0A803F4D" w14:textId="77777777" w:rsidR="00CE0459" w:rsidRPr="008241C1" w:rsidRDefault="00CE0459" w:rsidP="00266A0C">
            <w:pPr>
              <w:spacing w:line="276" w:lineRule="auto"/>
              <w:jc w:val="both"/>
              <w:rPr>
                <w:rFonts w:asciiTheme="minorHAnsi" w:hAnsiTheme="minorHAnsi" w:cstheme="minorHAnsi"/>
                <w:b/>
              </w:rPr>
            </w:pPr>
            <w:r w:rsidRPr="008241C1">
              <w:rPr>
                <w:rFonts w:asciiTheme="minorHAnsi" w:hAnsiTheme="minorHAnsi" w:cstheme="minorHAnsi"/>
                <w:b/>
              </w:rPr>
              <w:t xml:space="preserve">TERMES DE REFERENCE </w:t>
            </w:r>
            <w:r w:rsidR="00C645DE">
              <w:rPr>
                <w:rFonts w:asciiTheme="minorHAnsi" w:hAnsiTheme="minorHAnsi" w:cstheme="minorHAnsi"/>
                <w:b/>
              </w:rPr>
              <w:t>DE</w:t>
            </w:r>
            <w:r w:rsidRPr="008241C1">
              <w:rPr>
                <w:rFonts w:asciiTheme="minorHAnsi" w:hAnsiTheme="minorHAnsi" w:cstheme="minorHAnsi"/>
                <w:b/>
              </w:rPr>
              <w:t xml:space="preserve"> RECRUTEMENT D’UN CONSULTANT INTERNATIONAL</w:t>
            </w:r>
            <w:r w:rsidR="00904B6B">
              <w:rPr>
                <w:rFonts w:asciiTheme="minorHAnsi" w:hAnsiTheme="minorHAnsi" w:cstheme="minorHAnsi"/>
                <w:b/>
              </w:rPr>
              <w:t>/</w:t>
            </w:r>
            <w:r w:rsidR="002B1F40">
              <w:rPr>
                <w:rFonts w:asciiTheme="minorHAnsi" w:hAnsiTheme="minorHAnsi" w:cstheme="minorHAnsi"/>
                <w:b/>
              </w:rPr>
              <w:t>NATIONAL</w:t>
            </w:r>
            <w:r w:rsidR="002B1F40" w:rsidRPr="008241C1">
              <w:rPr>
                <w:rFonts w:asciiTheme="minorHAnsi" w:hAnsiTheme="minorHAnsi" w:cstheme="minorHAnsi"/>
                <w:b/>
              </w:rPr>
              <w:t xml:space="preserve"> </w:t>
            </w:r>
            <w:r w:rsidR="002B1F40">
              <w:rPr>
                <w:rFonts w:asciiTheme="minorHAnsi" w:hAnsiTheme="minorHAnsi" w:cstheme="minorHAnsi"/>
                <w:b/>
              </w:rPr>
              <w:t>POUR</w:t>
            </w:r>
            <w:r w:rsidR="00C645DE">
              <w:rPr>
                <w:rFonts w:asciiTheme="minorHAnsi" w:hAnsiTheme="minorHAnsi" w:cstheme="minorHAnsi"/>
                <w:b/>
              </w:rPr>
              <w:t xml:space="preserve"> </w:t>
            </w:r>
            <w:r w:rsidR="002B1F40">
              <w:rPr>
                <w:rFonts w:asciiTheme="minorHAnsi" w:hAnsiTheme="minorHAnsi" w:cstheme="minorHAnsi"/>
                <w:b/>
              </w:rPr>
              <w:t>EVALUER LE</w:t>
            </w:r>
            <w:r w:rsidR="002B1F40" w:rsidRPr="00C645DE">
              <w:rPr>
                <w:rFonts w:asciiTheme="minorHAnsi" w:hAnsiTheme="minorHAnsi" w:cstheme="minorHAnsi"/>
                <w:b/>
              </w:rPr>
              <w:t xml:space="preserve"> MODELE</w:t>
            </w:r>
            <w:r w:rsidR="00C645DE" w:rsidRPr="00C645DE">
              <w:rPr>
                <w:rFonts w:asciiTheme="minorHAnsi" w:hAnsiTheme="minorHAnsi" w:cstheme="minorHAnsi"/>
                <w:b/>
              </w:rPr>
              <w:t xml:space="preserve"> MENTORAT SONU AU BURUNDI</w:t>
            </w:r>
          </w:p>
          <w:p w14:paraId="75092AC9" w14:textId="77777777" w:rsidR="00AF643F" w:rsidRPr="008241C1" w:rsidRDefault="00AF643F" w:rsidP="00266A0C">
            <w:pPr>
              <w:suppressAutoHyphens/>
              <w:spacing w:line="276" w:lineRule="auto"/>
              <w:jc w:val="both"/>
              <w:rPr>
                <w:rFonts w:asciiTheme="minorHAnsi" w:hAnsiTheme="minorHAnsi" w:cstheme="minorHAnsi"/>
                <w:b/>
              </w:rPr>
            </w:pPr>
          </w:p>
        </w:tc>
      </w:tr>
      <w:tr w:rsidR="008241C1" w:rsidRPr="008241C1" w14:paraId="7B6D0A60" w14:textId="77777777" w:rsidTr="003C0350">
        <w:tblPrEx>
          <w:tblCellMar>
            <w:left w:w="148" w:type="dxa"/>
            <w:right w:w="148" w:type="dxa"/>
          </w:tblCellMar>
        </w:tblPrEx>
        <w:tc>
          <w:tcPr>
            <w:tcW w:w="2835" w:type="dxa"/>
            <w:tcBorders>
              <w:top w:val="single" w:sz="6" w:space="0" w:color="auto"/>
              <w:left w:val="double" w:sz="6" w:space="0" w:color="auto"/>
              <w:bottom w:val="single" w:sz="4" w:space="0" w:color="auto"/>
            </w:tcBorders>
            <w:shd w:val="clear" w:color="auto" w:fill="auto"/>
          </w:tcPr>
          <w:p w14:paraId="5DB60314" w14:textId="77777777" w:rsidR="00F372C7" w:rsidRPr="008241C1" w:rsidRDefault="008D7694" w:rsidP="00266A0C">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 xml:space="preserve">Bureau </w:t>
            </w:r>
            <w:r w:rsidR="009C7799" w:rsidRPr="008241C1">
              <w:rPr>
                <w:rFonts w:asciiTheme="minorHAnsi" w:hAnsiTheme="minorHAnsi" w:cstheme="minorHAnsi"/>
              </w:rPr>
              <w:t>d’embauche :</w:t>
            </w:r>
          </w:p>
        </w:tc>
        <w:tc>
          <w:tcPr>
            <w:tcW w:w="7938" w:type="dxa"/>
            <w:tcBorders>
              <w:top w:val="single" w:sz="6" w:space="0" w:color="auto"/>
              <w:left w:val="single" w:sz="6" w:space="0" w:color="auto"/>
              <w:bottom w:val="single" w:sz="4" w:space="0" w:color="auto"/>
              <w:right w:val="double" w:sz="6" w:space="0" w:color="auto"/>
            </w:tcBorders>
            <w:shd w:val="clear" w:color="auto" w:fill="auto"/>
          </w:tcPr>
          <w:p w14:paraId="2AA0F1E8" w14:textId="77777777" w:rsidR="00F372C7" w:rsidRPr="008241C1" w:rsidRDefault="00F372C7" w:rsidP="00266A0C">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 xml:space="preserve">UNFPA Burundi </w:t>
            </w:r>
            <w:r w:rsidR="0016387C" w:rsidRPr="008241C1">
              <w:rPr>
                <w:rFonts w:asciiTheme="minorHAnsi" w:hAnsiTheme="minorHAnsi" w:cstheme="minorHAnsi"/>
              </w:rPr>
              <w:t>(Fond des Nations Unies pour la Population)</w:t>
            </w:r>
          </w:p>
        </w:tc>
      </w:tr>
      <w:tr w:rsidR="008241C1" w:rsidRPr="008241C1" w14:paraId="023C228A" w14:textId="77777777" w:rsidTr="003C0350">
        <w:tblPrEx>
          <w:tblCellMar>
            <w:left w:w="148" w:type="dxa"/>
            <w:right w:w="148" w:type="dxa"/>
          </w:tblCellMar>
        </w:tblPrEx>
        <w:tc>
          <w:tcPr>
            <w:tcW w:w="2835" w:type="dxa"/>
            <w:tcBorders>
              <w:top w:val="single" w:sz="6" w:space="0" w:color="auto"/>
              <w:left w:val="double" w:sz="6" w:space="0" w:color="auto"/>
              <w:bottom w:val="single" w:sz="4" w:space="0" w:color="auto"/>
            </w:tcBorders>
            <w:shd w:val="clear" w:color="auto" w:fill="auto"/>
          </w:tcPr>
          <w:p w14:paraId="2133EE74" w14:textId="77777777" w:rsidR="00892146" w:rsidRPr="008241C1" w:rsidRDefault="009C7799" w:rsidP="00266A0C">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 xml:space="preserve">Contexte et justification </w:t>
            </w:r>
          </w:p>
        </w:tc>
        <w:tc>
          <w:tcPr>
            <w:tcW w:w="7938" w:type="dxa"/>
            <w:tcBorders>
              <w:top w:val="single" w:sz="6" w:space="0" w:color="auto"/>
              <w:left w:val="single" w:sz="6" w:space="0" w:color="auto"/>
              <w:bottom w:val="single" w:sz="4" w:space="0" w:color="auto"/>
              <w:right w:val="double" w:sz="6" w:space="0" w:color="auto"/>
            </w:tcBorders>
            <w:shd w:val="clear" w:color="auto" w:fill="auto"/>
          </w:tcPr>
          <w:p w14:paraId="604F8911" w14:textId="77777777" w:rsidR="00D40FAA" w:rsidRPr="00927B87" w:rsidRDefault="00D40FAA" w:rsidP="00D40FAA">
            <w:pPr>
              <w:pStyle w:val="Default"/>
              <w:spacing w:after="120" w:line="276" w:lineRule="auto"/>
              <w:jc w:val="both"/>
              <w:rPr>
                <w:rFonts w:asciiTheme="minorHAnsi" w:hAnsiTheme="minorHAnsi" w:cstheme="minorHAnsi"/>
                <w:color w:val="auto"/>
              </w:rPr>
            </w:pPr>
            <w:r w:rsidRPr="00927B87">
              <w:rPr>
                <w:rFonts w:asciiTheme="minorHAnsi" w:hAnsiTheme="minorHAnsi" w:cstheme="minorHAnsi"/>
                <w:color w:val="auto"/>
              </w:rPr>
              <w:t>L’amélioration de la santé de la mère, du nouveau-né, de l’enfant, de l’adolescent, de la santé sexuelle et génésique a toujours été considérée comme une priorité de premier ordre par la République du Burundi. L’affirmation de cette volonté s’est traduite d’une part par l’élaboration d’un nouveau Plan National de Développement (2018-2027), la Politique Nationale de Santé (2016-2025) et le Plan National de Développement Sanitaire (2019-2023</w:t>
            </w:r>
            <w:r w:rsidR="002B1F40" w:rsidRPr="00927B87">
              <w:rPr>
                <w:rFonts w:asciiTheme="minorHAnsi" w:hAnsiTheme="minorHAnsi" w:cstheme="minorHAnsi"/>
                <w:color w:val="auto"/>
              </w:rPr>
              <w:t>)</w:t>
            </w:r>
            <w:r w:rsidR="002B1F40">
              <w:rPr>
                <w:rFonts w:asciiTheme="minorHAnsi" w:hAnsiTheme="minorHAnsi" w:cstheme="minorHAnsi"/>
                <w:color w:val="auto"/>
              </w:rPr>
              <w:t>,</w:t>
            </w:r>
            <w:r w:rsidR="00904B6B">
              <w:rPr>
                <w:rFonts w:asciiTheme="minorHAnsi" w:hAnsiTheme="minorHAnsi" w:cstheme="minorHAnsi"/>
                <w:color w:val="auto"/>
              </w:rPr>
              <w:t xml:space="preserve"> le Plan Stratégique SRMNIA (2019-2023</w:t>
            </w:r>
            <w:r w:rsidR="002B1F40">
              <w:rPr>
                <w:rFonts w:asciiTheme="minorHAnsi" w:hAnsiTheme="minorHAnsi" w:cstheme="minorHAnsi"/>
                <w:color w:val="auto"/>
              </w:rPr>
              <w:t>), d’autre</w:t>
            </w:r>
            <w:r w:rsidRPr="00927B87">
              <w:rPr>
                <w:rFonts w:asciiTheme="minorHAnsi" w:hAnsiTheme="minorHAnsi" w:cstheme="minorHAnsi"/>
                <w:color w:val="auto"/>
              </w:rPr>
              <w:t xml:space="preserve"> part par la souscription aux engagements internationaux notamment la stratégie mondiale pour la santé de la femme, de l’enfant, et de l’adolescent (2016-2030) et les Objectifs pour le Développement Durable (ODD). </w:t>
            </w:r>
          </w:p>
          <w:p w14:paraId="664A4277" w14:textId="77777777" w:rsidR="00D40FAA" w:rsidRPr="00927B87" w:rsidRDefault="00D40FAA" w:rsidP="00D40FAA">
            <w:pPr>
              <w:pStyle w:val="Default"/>
              <w:spacing w:after="120" w:line="276" w:lineRule="auto"/>
              <w:jc w:val="both"/>
              <w:rPr>
                <w:rFonts w:asciiTheme="minorHAnsi" w:hAnsiTheme="minorHAnsi" w:cstheme="minorHAnsi"/>
                <w:color w:val="auto"/>
              </w:rPr>
            </w:pPr>
            <w:r w:rsidRPr="00927B87">
              <w:rPr>
                <w:rFonts w:asciiTheme="minorHAnsi" w:hAnsiTheme="minorHAnsi" w:cstheme="minorHAnsi"/>
                <w:color w:val="auto"/>
              </w:rPr>
              <w:t>Selon les données des EDS II 2010 et EDSBIII 2016-2017, le Burundi a réalisé des progrès en matière de santé de la reproduction qui ont abouti à l’amélioration des indicateurs sociodémographiques clés : l’Indice Synthétique de Fécondité (</w:t>
            </w:r>
            <w:r w:rsidR="002B1F40" w:rsidRPr="00927B87">
              <w:rPr>
                <w:rFonts w:asciiTheme="minorHAnsi" w:hAnsiTheme="minorHAnsi" w:cstheme="minorHAnsi"/>
                <w:color w:val="auto"/>
              </w:rPr>
              <w:t xml:space="preserve">ISF) </w:t>
            </w:r>
            <w:r w:rsidR="002B1F40">
              <w:rPr>
                <w:rFonts w:asciiTheme="minorHAnsi" w:hAnsiTheme="minorHAnsi" w:cstheme="minorHAnsi"/>
                <w:color w:val="auto"/>
              </w:rPr>
              <w:t>est</w:t>
            </w:r>
            <w:r w:rsidRPr="00927B87">
              <w:rPr>
                <w:rFonts w:asciiTheme="minorHAnsi" w:hAnsiTheme="minorHAnsi" w:cstheme="minorHAnsi"/>
                <w:color w:val="auto"/>
              </w:rPr>
              <w:t xml:space="preserve"> passé de 6,4 à 5,</w:t>
            </w:r>
            <w:proofErr w:type="gramStart"/>
            <w:r w:rsidRPr="00927B87">
              <w:rPr>
                <w:rFonts w:asciiTheme="minorHAnsi" w:hAnsiTheme="minorHAnsi" w:cstheme="minorHAnsi"/>
                <w:color w:val="auto"/>
              </w:rPr>
              <w:t>5;</w:t>
            </w:r>
            <w:proofErr w:type="gramEnd"/>
            <w:r w:rsidRPr="00927B87">
              <w:rPr>
                <w:rFonts w:asciiTheme="minorHAnsi" w:hAnsiTheme="minorHAnsi" w:cstheme="minorHAnsi"/>
                <w:color w:val="auto"/>
              </w:rPr>
              <w:t xml:space="preserve"> la prévalence contraceptive est passée de 22 à 29% chez les femmes de 15 à 49 ans en union; les accouchements assistés en milieu de soins de 60 à 85 % et la mortalité néonatale est passée de 31 à 23/1000 naissances vivantes. La mortalité maternelle est passée de 500 à 334/100.000 naissances vivantes.</w:t>
            </w:r>
          </w:p>
          <w:p w14:paraId="49E4C1A5" w14:textId="77777777" w:rsidR="00D40FAA" w:rsidRPr="00927B87" w:rsidRDefault="00D40FAA" w:rsidP="00D40FAA">
            <w:pPr>
              <w:pStyle w:val="Default"/>
              <w:spacing w:after="120" w:line="276" w:lineRule="auto"/>
              <w:jc w:val="both"/>
              <w:rPr>
                <w:rFonts w:asciiTheme="minorHAnsi" w:hAnsiTheme="minorHAnsi" w:cstheme="minorHAnsi"/>
                <w:color w:val="auto"/>
              </w:rPr>
            </w:pPr>
            <w:r w:rsidRPr="00927B87">
              <w:rPr>
                <w:rFonts w:asciiTheme="minorHAnsi" w:hAnsiTheme="minorHAnsi" w:cstheme="minorHAnsi"/>
                <w:color w:val="auto"/>
              </w:rPr>
              <w:t>Malgré les progrès réalisés au Burundi par rapport à la proportion des accouchements en milieu de soins (soit 85% selon l’EDSB III 2016-2017), la réduction de la mortalité maternelle et néonatale est restée non satisfaisante. Le ministère de la Santé Publique et de la Lutte contre le Sida a fait de la qualité des soins un des aspects clés de la réduction des décès maternels et néonatals évitables.</w:t>
            </w:r>
          </w:p>
          <w:p w14:paraId="67E5BECA" w14:textId="77777777" w:rsidR="00D40FAA" w:rsidRPr="00927B87" w:rsidRDefault="00D40FAA" w:rsidP="00D40FAA">
            <w:pPr>
              <w:pStyle w:val="Default"/>
              <w:spacing w:before="240" w:line="276" w:lineRule="auto"/>
              <w:jc w:val="both"/>
              <w:rPr>
                <w:rFonts w:asciiTheme="minorHAnsi" w:hAnsiTheme="minorHAnsi" w:cstheme="minorHAnsi"/>
                <w:color w:val="auto"/>
              </w:rPr>
            </w:pPr>
            <w:r w:rsidRPr="00927B87">
              <w:rPr>
                <w:rFonts w:asciiTheme="minorHAnsi" w:hAnsiTheme="minorHAnsi" w:cstheme="minorHAnsi"/>
                <w:color w:val="auto"/>
              </w:rPr>
              <w:t xml:space="preserve">L'une des interventions à haut impact recommandée pour réduire la mortalité et la morbidité maternelle et néonatale est d’assurer un accès rapide aux SONU de qualité. </w:t>
            </w:r>
          </w:p>
          <w:p w14:paraId="73D54224" w14:textId="77777777" w:rsidR="00D40FAA" w:rsidRPr="00927B87" w:rsidRDefault="00D40FAA" w:rsidP="00D40FAA">
            <w:pPr>
              <w:pStyle w:val="Default"/>
              <w:spacing w:before="240" w:line="276" w:lineRule="auto"/>
              <w:jc w:val="both"/>
              <w:rPr>
                <w:rFonts w:asciiTheme="minorHAnsi" w:hAnsiTheme="minorHAnsi" w:cstheme="minorHAnsi"/>
                <w:color w:val="auto"/>
              </w:rPr>
            </w:pPr>
            <w:r w:rsidRPr="00927B87">
              <w:rPr>
                <w:rFonts w:asciiTheme="minorHAnsi" w:hAnsiTheme="minorHAnsi" w:cstheme="minorHAnsi"/>
                <w:color w:val="auto"/>
              </w:rPr>
              <w:t xml:space="preserve">Les SONU sont basés sur 2 évidences : </w:t>
            </w:r>
          </w:p>
          <w:p w14:paraId="57575B75" w14:textId="77777777" w:rsidR="00D40FAA" w:rsidRPr="00927B87" w:rsidRDefault="00D40FAA" w:rsidP="00D40FAA">
            <w:pPr>
              <w:pStyle w:val="Default"/>
              <w:numPr>
                <w:ilvl w:val="0"/>
                <w:numId w:val="37"/>
              </w:numPr>
              <w:suppressAutoHyphens/>
              <w:adjustRightInd/>
              <w:spacing w:after="120" w:line="276" w:lineRule="auto"/>
              <w:ind w:left="720" w:hanging="360"/>
              <w:jc w:val="both"/>
              <w:textAlignment w:val="baseline"/>
              <w:rPr>
                <w:rFonts w:asciiTheme="minorHAnsi" w:hAnsiTheme="minorHAnsi" w:cstheme="minorHAnsi"/>
                <w:color w:val="auto"/>
              </w:rPr>
            </w:pPr>
            <w:r w:rsidRPr="00927B87">
              <w:rPr>
                <w:rFonts w:asciiTheme="minorHAnsi" w:hAnsiTheme="minorHAnsi" w:cstheme="minorHAnsi"/>
                <w:color w:val="auto"/>
              </w:rPr>
              <w:t xml:space="preserve">50% des décès maternels surviennent durant l’accouchement ou dans les 24 heures suivantes ; </w:t>
            </w:r>
          </w:p>
          <w:p w14:paraId="4D5C856C" w14:textId="77777777" w:rsidR="00D40FAA" w:rsidRPr="00927B87" w:rsidRDefault="00D40FAA" w:rsidP="00D40FAA">
            <w:pPr>
              <w:pStyle w:val="Default"/>
              <w:numPr>
                <w:ilvl w:val="0"/>
                <w:numId w:val="37"/>
              </w:numPr>
              <w:suppressAutoHyphens/>
              <w:adjustRightInd/>
              <w:spacing w:after="120" w:line="276" w:lineRule="auto"/>
              <w:ind w:left="720" w:hanging="360"/>
              <w:jc w:val="both"/>
              <w:textAlignment w:val="baseline"/>
              <w:rPr>
                <w:rFonts w:asciiTheme="minorHAnsi" w:hAnsiTheme="minorHAnsi" w:cstheme="minorHAnsi"/>
                <w:color w:val="auto"/>
              </w:rPr>
            </w:pPr>
            <w:r w:rsidRPr="00927B87">
              <w:rPr>
                <w:rFonts w:asciiTheme="minorHAnsi" w:hAnsiTheme="minorHAnsi" w:cstheme="minorHAnsi"/>
                <w:color w:val="auto"/>
              </w:rPr>
              <w:t xml:space="preserve">La plupart des complications de la grossesse et de l’accouchement ne </w:t>
            </w:r>
            <w:r w:rsidR="002B1F40">
              <w:rPr>
                <w:rFonts w:asciiTheme="minorHAnsi" w:hAnsiTheme="minorHAnsi" w:cstheme="minorHAnsi"/>
                <w:color w:val="auto"/>
              </w:rPr>
              <w:t xml:space="preserve">sont </w:t>
            </w:r>
            <w:r w:rsidR="002B1F40" w:rsidRPr="00927B87">
              <w:rPr>
                <w:rFonts w:asciiTheme="minorHAnsi" w:hAnsiTheme="minorHAnsi" w:cstheme="minorHAnsi"/>
                <w:color w:val="auto"/>
              </w:rPr>
              <w:t>ni</w:t>
            </w:r>
            <w:r w:rsidRPr="00927B87">
              <w:rPr>
                <w:rFonts w:asciiTheme="minorHAnsi" w:hAnsiTheme="minorHAnsi" w:cstheme="minorHAnsi"/>
                <w:color w:val="auto"/>
              </w:rPr>
              <w:t xml:space="preserve"> prévisibles ni évitables mais elles peuvent être traitées.  </w:t>
            </w:r>
          </w:p>
          <w:p w14:paraId="71776BFB" w14:textId="77777777" w:rsidR="00D40FAA" w:rsidRPr="00927B87" w:rsidRDefault="00D40FAA" w:rsidP="00D40FAA">
            <w:pPr>
              <w:spacing w:line="276" w:lineRule="auto"/>
              <w:rPr>
                <w:rFonts w:cstheme="minorHAnsi"/>
              </w:rPr>
            </w:pPr>
            <w:r w:rsidRPr="00927B87">
              <w:rPr>
                <w:rFonts w:cstheme="minorHAnsi"/>
              </w:rPr>
              <w:t xml:space="preserve">La formation en Soins Obstétricaux Néonatals d’Urgence utilisant une approche d’acquisition des compétences basée sur le mentorat clinique dans les formations sanitaires </w:t>
            </w:r>
            <w:r w:rsidR="00DD4837">
              <w:rPr>
                <w:rFonts w:cstheme="minorHAnsi"/>
              </w:rPr>
              <w:t>est venu</w:t>
            </w:r>
            <w:r w:rsidR="00017D07">
              <w:rPr>
                <w:rFonts w:cstheme="minorHAnsi"/>
              </w:rPr>
              <w:t>e</w:t>
            </w:r>
            <w:r w:rsidRPr="00927B87">
              <w:rPr>
                <w:rFonts w:cstheme="minorHAnsi"/>
              </w:rPr>
              <w:t xml:space="preserve"> pour pallier à cette lacune et insister sur le </w:t>
            </w:r>
            <w:r w:rsidRPr="00927B87">
              <w:rPr>
                <w:rFonts w:cstheme="minorHAnsi"/>
              </w:rPr>
              <w:lastRenderedPageBreak/>
              <w:t xml:space="preserve">renforcement des capacités des apprenants sur les gestes utiles capables de sauver la vie des mères et des nouveau-nés. </w:t>
            </w:r>
          </w:p>
          <w:p w14:paraId="0D765DAB" w14:textId="77777777" w:rsidR="00D40FAA" w:rsidRPr="00927B87" w:rsidRDefault="00D40FAA" w:rsidP="00D40FAA">
            <w:pPr>
              <w:spacing w:line="276" w:lineRule="auto"/>
              <w:rPr>
                <w:rFonts w:cstheme="minorHAnsi"/>
              </w:rPr>
            </w:pPr>
            <w:r w:rsidRPr="00927B87">
              <w:rPr>
                <w:rFonts w:cstheme="minorHAnsi"/>
              </w:rPr>
              <w:t xml:space="preserve">Pour une mise en œuvre efficace de l’offre des SONU, </w:t>
            </w:r>
            <w:r w:rsidR="00B56100">
              <w:rPr>
                <w:rFonts w:cstheme="minorHAnsi"/>
              </w:rPr>
              <w:t>le</w:t>
            </w:r>
            <w:r w:rsidRPr="00927B87">
              <w:rPr>
                <w:rFonts w:cstheme="minorHAnsi"/>
              </w:rPr>
              <w:t xml:space="preserve"> Ministère de la santé publique et de la lutte contre le SIDA, à travers le PNSR, avec l’appui</w:t>
            </w:r>
            <w:r w:rsidR="00B56100">
              <w:rPr>
                <w:rFonts w:cstheme="minorHAnsi"/>
              </w:rPr>
              <w:t xml:space="preserve"> technique et financier de ses P</w:t>
            </w:r>
            <w:r w:rsidRPr="00927B87">
              <w:rPr>
                <w:rFonts w:cstheme="minorHAnsi"/>
              </w:rPr>
              <w:t xml:space="preserve">artenaires </w:t>
            </w:r>
            <w:r w:rsidR="00B56100" w:rsidRPr="00B56100">
              <w:rPr>
                <w:rFonts w:cstheme="minorHAnsi"/>
              </w:rPr>
              <w:t xml:space="preserve">au Développement </w:t>
            </w:r>
            <w:r w:rsidRPr="00927B87">
              <w:rPr>
                <w:rFonts w:cstheme="minorHAnsi"/>
              </w:rPr>
              <w:t>a mis en place un modèle national harmonisé de formation en mentorat SONU</w:t>
            </w:r>
            <w:r w:rsidR="00B56100">
              <w:rPr>
                <w:rFonts w:cstheme="minorHAnsi"/>
              </w:rPr>
              <w:t xml:space="preserve"> en 2020</w:t>
            </w:r>
            <w:r w:rsidRPr="00927B87">
              <w:rPr>
                <w:rFonts w:cstheme="minorHAnsi"/>
              </w:rPr>
              <w:t>.</w:t>
            </w:r>
          </w:p>
          <w:p w14:paraId="10F428BD" w14:textId="77777777" w:rsidR="00D40FAA" w:rsidRDefault="00D40FAA" w:rsidP="00D40FAA">
            <w:pPr>
              <w:spacing w:line="276" w:lineRule="auto"/>
              <w:rPr>
                <w:rFonts w:cstheme="minorHAnsi"/>
              </w:rPr>
            </w:pPr>
            <w:r w:rsidRPr="00927B87">
              <w:rPr>
                <w:rFonts w:cstheme="minorHAnsi"/>
              </w:rPr>
              <w:t>Mi</w:t>
            </w:r>
            <w:r w:rsidR="00B56100">
              <w:rPr>
                <w:rFonts w:cstheme="minorHAnsi"/>
              </w:rPr>
              <w:t>s en œuvre depuis ce jour</w:t>
            </w:r>
            <w:r w:rsidRPr="00927B87">
              <w:rPr>
                <w:rFonts w:cstheme="minorHAnsi"/>
              </w:rPr>
              <w:t>, le modèle comprend quatre phases successives dont : i) Une phase de visite préparatoire au niveau de la FOSA concernée ; ii) Une phase de formation théorique en salle ; iii) Une phase de stage clinique au niveau des sites de stage identifiés et enfin ; iv) Une phase de supervision formative au niveau des FO</w:t>
            </w:r>
            <w:r w:rsidR="00017D07">
              <w:rPr>
                <w:rFonts w:cstheme="minorHAnsi"/>
              </w:rPr>
              <w:t>SA de provenance des mentorés, L</w:t>
            </w:r>
            <w:r w:rsidRPr="00927B87">
              <w:rPr>
                <w:rFonts w:cstheme="minorHAnsi"/>
              </w:rPr>
              <w:t>a quatrième phase de mise en œuvre ne pouvant être réalisée qu’après 3 mois d’exercice des mentorés au niveau des FOSA d’origine.</w:t>
            </w:r>
          </w:p>
          <w:p w14:paraId="01CB964F" w14:textId="77777777" w:rsidR="00423E5D" w:rsidRPr="00927B87" w:rsidRDefault="00423E5D" w:rsidP="00D40FAA">
            <w:pPr>
              <w:spacing w:line="276" w:lineRule="auto"/>
              <w:rPr>
                <w:rFonts w:cstheme="minorHAnsi"/>
              </w:rPr>
            </w:pPr>
          </w:p>
          <w:p w14:paraId="7A51F849" w14:textId="77777777" w:rsidR="00D40FAA" w:rsidRDefault="00D40FAA" w:rsidP="00D40FAA">
            <w:pPr>
              <w:spacing w:line="276" w:lineRule="auto"/>
              <w:rPr>
                <w:rFonts w:cstheme="minorHAnsi"/>
              </w:rPr>
            </w:pPr>
            <w:r w:rsidRPr="00927B87">
              <w:rPr>
                <w:rFonts w:cstheme="minorHAnsi"/>
              </w:rPr>
              <w:t>L’approche a été mise en œuvre dans le</w:t>
            </w:r>
            <w:r w:rsidR="00C234D6">
              <w:rPr>
                <w:rFonts w:cstheme="minorHAnsi"/>
              </w:rPr>
              <w:t xml:space="preserve">s FOSA cibles (SONU) </w:t>
            </w:r>
            <w:r w:rsidR="002B1F40">
              <w:rPr>
                <w:rFonts w:cstheme="minorHAnsi"/>
              </w:rPr>
              <w:t xml:space="preserve">dans </w:t>
            </w:r>
            <w:r w:rsidR="002B1F40" w:rsidRPr="00927B87">
              <w:rPr>
                <w:rFonts w:cstheme="minorHAnsi"/>
              </w:rPr>
              <w:t>14</w:t>
            </w:r>
            <w:r w:rsidRPr="00927B87">
              <w:rPr>
                <w:rFonts w:cstheme="minorHAnsi"/>
                <w:b/>
                <w:bCs/>
              </w:rPr>
              <w:t xml:space="preserve"> Provinces</w:t>
            </w:r>
            <w:r w:rsidRPr="00927B87">
              <w:rPr>
                <w:rFonts w:cstheme="minorHAnsi"/>
              </w:rPr>
              <w:t xml:space="preserve"> </w:t>
            </w:r>
            <w:r w:rsidR="00A072D2">
              <w:rPr>
                <w:rFonts w:cstheme="minorHAnsi"/>
                <w:b/>
                <w:bCs/>
              </w:rPr>
              <w:t>S</w:t>
            </w:r>
            <w:r w:rsidRPr="00927B87">
              <w:rPr>
                <w:rFonts w:cstheme="minorHAnsi"/>
                <w:b/>
                <w:bCs/>
              </w:rPr>
              <w:t>anitaires</w:t>
            </w:r>
            <w:r w:rsidR="00C234D6">
              <w:rPr>
                <w:rFonts w:cstheme="minorHAnsi"/>
              </w:rPr>
              <w:t xml:space="preserve"> d</w:t>
            </w:r>
            <w:r w:rsidR="003C1B51">
              <w:rPr>
                <w:rFonts w:cstheme="minorHAnsi"/>
              </w:rPr>
              <w:t xml:space="preserve">u Burundi à </w:t>
            </w:r>
            <w:r w:rsidR="002B1F40">
              <w:rPr>
                <w:rFonts w:cstheme="minorHAnsi"/>
              </w:rPr>
              <w:t xml:space="preserve">savoir </w:t>
            </w:r>
            <w:r w:rsidR="002B1F40" w:rsidRPr="00927B87">
              <w:rPr>
                <w:rFonts w:cstheme="minorHAnsi"/>
              </w:rPr>
              <w:t>Ngozi</w:t>
            </w:r>
            <w:r w:rsidRPr="00927B87">
              <w:rPr>
                <w:rFonts w:cstheme="minorHAnsi"/>
              </w:rPr>
              <w:t xml:space="preserve">, </w:t>
            </w:r>
            <w:proofErr w:type="spellStart"/>
            <w:r w:rsidRPr="00927B87">
              <w:rPr>
                <w:rFonts w:cstheme="minorHAnsi"/>
              </w:rPr>
              <w:t>Kirundo</w:t>
            </w:r>
            <w:proofErr w:type="spellEnd"/>
            <w:r w:rsidRPr="00927B87">
              <w:rPr>
                <w:rFonts w:cstheme="minorHAnsi"/>
              </w:rPr>
              <w:t xml:space="preserve">, </w:t>
            </w:r>
            <w:proofErr w:type="spellStart"/>
            <w:r w:rsidRPr="00927B87">
              <w:rPr>
                <w:rFonts w:cstheme="minorHAnsi"/>
              </w:rPr>
              <w:t>Kayanza</w:t>
            </w:r>
            <w:proofErr w:type="spellEnd"/>
            <w:r w:rsidRPr="00927B87">
              <w:rPr>
                <w:rFonts w:cstheme="minorHAnsi"/>
              </w:rPr>
              <w:t xml:space="preserve">, Gitega, </w:t>
            </w:r>
            <w:proofErr w:type="spellStart"/>
            <w:r w:rsidRPr="00927B87">
              <w:rPr>
                <w:rFonts w:cstheme="minorHAnsi"/>
              </w:rPr>
              <w:t>Mwaro</w:t>
            </w:r>
            <w:proofErr w:type="spellEnd"/>
            <w:r w:rsidRPr="00927B87">
              <w:rPr>
                <w:rFonts w:cstheme="minorHAnsi"/>
              </w:rPr>
              <w:t xml:space="preserve">, </w:t>
            </w:r>
            <w:proofErr w:type="spellStart"/>
            <w:r w:rsidRPr="00927B87">
              <w:rPr>
                <w:rFonts w:cstheme="minorHAnsi"/>
              </w:rPr>
              <w:t>Mu</w:t>
            </w:r>
            <w:r w:rsidR="00423E5D">
              <w:rPr>
                <w:rFonts w:cstheme="minorHAnsi"/>
              </w:rPr>
              <w:t>ramvya</w:t>
            </w:r>
            <w:proofErr w:type="spellEnd"/>
            <w:r w:rsidR="00423E5D">
              <w:rPr>
                <w:rFonts w:cstheme="minorHAnsi"/>
              </w:rPr>
              <w:t xml:space="preserve">, </w:t>
            </w:r>
            <w:proofErr w:type="spellStart"/>
            <w:r w:rsidR="00423E5D">
              <w:rPr>
                <w:rFonts w:cstheme="minorHAnsi"/>
              </w:rPr>
              <w:t>Bubanza</w:t>
            </w:r>
            <w:proofErr w:type="spellEnd"/>
            <w:r w:rsidR="00423E5D">
              <w:rPr>
                <w:rFonts w:cstheme="minorHAnsi"/>
              </w:rPr>
              <w:t xml:space="preserve">, </w:t>
            </w:r>
            <w:r w:rsidR="00C755C3">
              <w:rPr>
                <w:rFonts w:cstheme="minorHAnsi"/>
              </w:rPr>
              <w:t>Bujumbura,</w:t>
            </w:r>
            <w:r w:rsidRPr="00927B87">
              <w:rPr>
                <w:rFonts w:cstheme="minorHAnsi"/>
              </w:rPr>
              <w:t xml:space="preserve"> </w:t>
            </w:r>
            <w:proofErr w:type="spellStart"/>
            <w:r w:rsidRPr="00927B87">
              <w:rPr>
                <w:rFonts w:cstheme="minorHAnsi"/>
              </w:rPr>
              <w:t>Rumonge</w:t>
            </w:r>
            <w:proofErr w:type="spellEnd"/>
            <w:r w:rsidRPr="00927B87">
              <w:rPr>
                <w:rFonts w:cstheme="minorHAnsi"/>
              </w:rPr>
              <w:t xml:space="preserve">, Bururi, </w:t>
            </w:r>
            <w:proofErr w:type="spellStart"/>
            <w:r w:rsidRPr="00927B87">
              <w:rPr>
                <w:rFonts w:cstheme="minorHAnsi"/>
              </w:rPr>
              <w:t>Makamba</w:t>
            </w:r>
            <w:proofErr w:type="spellEnd"/>
            <w:r w:rsidR="004B3A0D">
              <w:rPr>
                <w:rFonts w:cstheme="minorHAnsi"/>
              </w:rPr>
              <w:t>, Rutana, Ruyigi</w:t>
            </w:r>
            <w:r w:rsidR="00423E5D">
              <w:rPr>
                <w:rFonts w:cstheme="minorHAnsi"/>
              </w:rPr>
              <w:t xml:space="preserve"> </w:t>
            </w:r>
            <w:proofErr w:type="gramStart"/>
            <w:r w:rsidR="00423E5D">
              <w:rPr>
                <w:rFonts w:cstheme="minorHAnsi"/>
              </w:rPr>
              <w:t xml:space="preserve">et </w:t>
            </w:r>
            <w:r w:rsidRPr="00927B87">
              <w:rPr>
                <w:rFonts w:cstheme="minorHAnsi"/>
              </w:rPr>
              <w:t xml:space="preserve"> </w:t>
            </w:r>
            <w:proofErr w:type="spellStart"/>
            <w:r w:rsidRPr="00927B87">
              <w:rPr>
                <w:rFonts w:cstheme="minorHAnsi"/>
              </w:rPr>
              <w:t>Cankuzo</w:t>
            </w:r>
            <w:proofErr w:type="spellEnd"/>
            <w:proofErr w:type="gramEnd"/>
            <w:r w:rsidRPr="00927B87">
              <w:rPr>
                <w:rFonts w:cstheme="minorHAnsi"/>
              </w:rPr>
              <w:t>.</w:t>
            </w:r>
          </w:p>
          <w:p w14:paraId="35AF1371" w14:textId="77777777" w:rsidR="004B3A0D" w:rsidRPr="00927B87" w:rsidRDefault="004B3A0D" w:rsidP="00D40FAA">
            <w:pPr>
              <w:spacing w:line="276" w:lineRule="auto"/>
              <w:rPr>
                <w:rFonts w:cstheme="minorHAnsi"/>
              </w:rPr>
            </w:pPr>
          </w:p>
          <w:p w14:paraId="18899777" w14:textId="77777777" w:rsidR="00D40FAA" w:rsidRPr="00927B87" w:rsidRDefault="00D40FAA" w:rsidP="00D40FAA">
            <w:pPr>
              <w:spacing w:line="276" w:lineRule="auto"/>
              <w:rPr>
                <w:rFonts w:cstheme="minorHAnsi"/>
              </w:rPr>
            </w:pPr>
            <w:r w:rsidRPr="00927B87">
              <w:rPr>
                <w:rFonts w:cstheme="minorHAnsi"/>
              </w:rPr>
              <w:t xml:space="preserve">C’est dans ce contexte que le MSPLS via le PNSR avec l’appui technique de ses partenaires </w:t>
            </w:r>
            <w:r w:rsidR="002B1F40" w:rsidRPr="00927B87">
              <w:rPr>
                <w:rFonts w:cstheme="minorHAnsi"/>
              </w:rPr>
              <w:t xml:space="preserve">notamment </w:t>
            </w:r>
            <w:r w:rsidR="002B1F40">
              <w:rPr>
                <w:rFonts w:cstheme="minorHAnsi"/>
              </w:rPr>
              <w:t>UNFPA</w:t>
            </w:r>
            <w:r w:rsidR="004B3A0D">
              <w:rPr>
                <w:rFonts w:cstheme="minorHAnsi"/>
              </w:rPr>
              <w:t xml:space="preserve">, </w:t>
            </w:r>
            <w:r w:rsidRPr="00927B87">
              <w:rPr>
                <w:rFonts w:cstheme="minorHAnsi"/>
              </w:rPr>
              <w:t>OMS, JICA et autres ayant contribué à la mise en œ</w:t>
            </w:r>
            <w:r w:rsidR="003C1B51">
              <w:rPr>
                <w:rFonts w:cstheme="minorHAnsi"/>
              </w:rPr>
              <w:t xml:space="preserve">uvre de cette approche, </w:t>
            </w:r>
            <w:r w:rsidR="002B1F40">
              <w:rPr>
                <w:rFonts w:cstheme="minorHAnsi"/>
              </w:rPr>
              <w:t xml:space="preserve">voudraient </w:t>
            </w:r>
            <w:r w:rsidR="002B1F40" w:rsidRPr="00927B87">
              <w:rPr>
                <w:rFonts w:cstheme="minorHAnsi"/>
              </w:rPr>
              <w:t>réaliser</w:t>
            </w:r>
            <w:r w:rsidRPr="00927B87">
              <w:rPr>
                <w:rFonts w:cstheme="minorHAnsi"/>
              </w:rPr>
              <w:t xml:space="preserve"> une évaluation de l’approche mentorat SONU.</w:t>
            </w:r>
            <w:r w:rsidR="003C1B51">
              <w:rPr>
                <w:rFonts w:cstheme="minorHAnsi"/>
              </w:rPr>
              <w:t xml:space="preserve"> Le programme mentorat a un triple intérêt : le renforcement des compétences des prestataires in situ, l’organisation des services, surtout le service de gynéco-obstétrique, pédiatrie –néonatologie et le rapprochement des </w:t>
            </w:r>
            <w:r w:rsidR="002B1F40">
              <w:rPr>
                <w:rFonts w:cstheme="minorHAnsi"/>
              </w:rPr>
              <w:t>spécialistes des</w:t>
            </w:r>
            <w:r w:rsidR="003C1B51">
              <w:rPr>
                <w:rFonts w:cstheme="minorHAnsi"/>
              </w:rPr>
              <w:t xml:space="preserve"> populations </w:t>
            </w:r>
            <w:r w:rsidR="002B1F40">
              <w:rPr>
                <w:rFonts w:cstheme="minorHAnsi"/>
              </w:rPr>
              <w:t>locales, personnes</w:t>
            </w:r>
            <w:r w:rsidR="00C62AED">
              <w:rPr>
                <w:rFonts w:cstheme="minorHAnsi"/>
              </w:rPr>
              <w:t xml:space="preserve"> </w:t>
            </w:r>
            <w:r w:rsidR="003C1B51">
              <w:rPr>
                <w:rFonts w:cstheme="minorHAnsi"/>
              </w:rPr>
              <w:t>ressources normalement rare</w:t>
            </w:r>
            <w:r w:rsidR="00C62AED">
              <w:rPr>
                <w:rFonts w:cstheme="minorHAnsi"/>
              </w:rPr>
              <w:t>s</w:t>
            </w:r>
            <w:r w:rsidR="003C1B51">
              <w:rPr>
                <w:rFonts w:cstheme="minorHAnsi"/>
              </w:rPr>
              <w:t xml:space="preserve"> à </w:t>
            </w:r>
            <w:r w:rsidR="002B1F40">
              <w:rPr>
                <w:rFonts w:cstheme="minorHAnsi"/>
              </w:rPr>
              <w:t>l’intérieur du</w:t>
            </w:r>
            <w:r w:rsidR="003C1B51">
              <w:rPr>
                <w:rFonts w:cstheme="minorHAnsi"/>
              </w:rPr>
              <w:t xml:space="preserve"> pays</w:t>
            </w:r>
          </w:p>
          <w:p w14:paraId="718479A8" w14:textId="77777777" w:rsidR="00985878" w:rsidRPr="008241C1" w:rsidRDefault="00985878" w:rsidP="00266A0C">
            <w:pPr>
              <w:spacing w:line="276" w:lineRule="auto"/>
              <w:jc w:val="both"/>
              <w:rPr>
                <w:rFonts w:asciiTheme="minorHAnsi" w:hAnsiTheme="minorHAnsi" w:cstheme="minorHAnsi"/>
              </w:rPr>
            </w:pPr>
          </w:p>
        </w:tc>
      </w:tr>
      <w:tr w:rsidR="008241C1" w:rsidRPr="008241C1" w14:paraId="41B3E9ED" w14:textId="77777777" w:rsidTr="003C0350">
        <w:tblPrEx>
          <w:tblCellMar>
            <w:left w:w="148" w:type="dxa"/>
            <w:right w:w="148" w:type="dxa"/>
          </w:tblCellMar>
        </w:tblPrEx>
        <w:tc>
          <w:tcPr>
            <w:tcW w:w="2835" w:type="dxa"/>
            <w:tcBorders>
              <w:top w:val="single" w:sz="6" w:space="0" w:color="auto"/>
              <w:left w:val="double" w:sz="6" w:space="0" w:color="auto"/>
              <w:bottom w:val="single" w:sz="6" w:space="0" w:color="auto"/>
            </w:tcBorders>
            <w:shd w:val="clear" w:color="auto" w:fill="auto"/>
          </w:tcPr>
          <w:p w14:paraId="5805A906" w14:textId="77777777" w:rsidR="00F55014" w:rsidRPr="008241C1" w:rsidRDefault="00F55014" w:rsidP="00266A0C">
            <w:pPr>
              <w:tabs>
                <w:tab w:val="left" w:pos="-720"/>
              </w:tabs>
              <w:suppressAutoHyphens/>
              <w:spacing w:before="40" w:after="54" w:line="276" w:lineRule="auto"/>
              <w:jc w:val="both"/>
              <w:rPr>
                <w:rFonts w:asciiTheme="minorHAnsi" w:hAnsiTheme="minorHAnsi" w:cstheme="minorHAnsi"/>
                <w:bCs/>
              </w:rPr>
            </w:pPr>
          </w:p>
          <w:p w14:paraId="6C32416B" w14:textId="77777777" w:rsidR="00F55014" w:rsidRPr="008241C1" w:rsidRDefault="00F55014" w:rsidP="00266A0C">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bCs/>
              </w:rPr>
              <w:t>Objectifs et Résultats attendus</w:t>
            </w:r>
          </w:p>
          <w:p w14:paraId="5F04887A" w14:textId="77777777" w:rsidR="00F55014" w:rsidRPr="008241C1" w:rsidRDefault="00F55014" w:rsidP="00266A0C">
            <w:pPr>
              <w:tabs>
                <w:tab w:val="left" w:pos="-720"/>
              </w:tabs>
              <w:suppressAutoHyphens/>
              <w:spacing w:before="40" w:after="54" w:line="276" w:lineRule="auto"/>
              <w:jc w:val="both"/>
              <w:rPr>
                <w:rFonts w:asciiTheme="minorHAnsi" w:hAnsiTheme="minorHAnsi" w:cstheme="minorHAnsi"/>
                <w:i/>
              </w:rPr>
            </w:pPr>
            <w:r w:rsidRPr="008241C1">
              <w:rPr>
                <w:rFonts w:asciiTheme="minorHAnsi" w:hAnsiTheme="minorHAnsi" w:cstheme="minorHAnsi"/>
                <w:i/>
              </w:rPr>
              <w:t xml:space="preserve"> (Description des tâches et responsabilités avec outils de travail)</w:t>
            </w:r>
          </w:p>
        </w:tc>
        <w:tc>
          <w:tcPr>
            <w:tcW w:w="7938" w:type="dxa"/>
            <w:tcBorders>
              <w:top w:val="single" w:sz="6" w:space="0" w:color="auto"/>
              <w:left w:val="single" w:sz="6" w:space="0" w:color="auto"/>
              <w:bottom w:val="single" w:sz="6" w:space="0" w:color="auto"/>
              <w:right w:val="double" w:sz="6" w:space="0" w:color="auto"/>
            </w:tcBorders>
            <w:shd w:val="clear" w:color="auto" w:fill="auto"/>
          </w:tcPr>
          <w:p w14:paraId="4BF48BA8" w14:textId="77777777" w:rsidR="00D40FAA" w:rsidRPr="00927B87" w:rsidRDefault="00D40FAA" w:rsidP="00D40FAA">
            <w:pPr>
              <w:rPr>
                <w:rFonts w:cstheme="minorHAnsi"/>
                <w:color w:val="000000"/>
              </w:rPr>
            </w:pPr>
            <w:r>
              <w:rPr>
                <w:rFonts w:asciiTheme="minorHAnsi" w:hAnsiTheme="minorHAnsi" w:cstheme="minorHAnsi"/>
              </w:rPr>
              <w:t xml:space="preserve"> </w:t>
            </w:r>
            <w:r w:rsidR="002B1F40" w:rsidRPr="00927B87">
              <w:rPr>
                <w:rFonts w:cstheme="minorHAnsi"/>
                <w:color w:val="000000"/>
              </w:rPr>
              <w:t xml:space="preserve">L’objectif </w:t>
            </w:r>
            <w:r w:rsidR="002B1F40">
              <w:rPr>
                <w:rFonts w:cstheme="minorHAnsi"/>
                <w:color w:val="000000"/>
              </w:rPr>
              <w:t>général</w:t>
            </w:r>
            <w:r w:rsidR="008E770C">
              <w:rPr>
                <w:rFonts w:cstheme="minorHAnsi"/>
                <w:color w:val="000000"/>
              </w:rPr>
              <w:t xml:space="preserve"> </w:t>
            </w:r>
            <w:r w:rsidRPr="00927B87">
              <w:rPr>
                <w:rFonts w:cstheme="minorHAnsi"/>
                <w:color w:val="000000"/>
              </w:rPr>
              <w:t>de cette évaluation est de faire une mesure systématique et objective des résultats de la mise en œuvre de l’approche mentorat SONU, en vue d’en déterminer la pe</w:t>
            </w:r>
            <w:r w:rsidR="004B3A0D">
              <w:rPr>
                <w:rFonts w:cstheme="minorHAnsi"/>
                <w:color w:val="000000"/>
              </w:rPr>
              <w:t>rtinence, la cohérence,</w:t>
            </w:r>
            <w:r w:rsidRPr="00927B87">
              <w:rPr>
                <w:rFonts w:cstheme="minorHAnsi"/>
                <w:color w:val="000000"/>
              </w:rPr>
              <w:t xml:space="preserve"> l’efficience, l’efficacité, l’impact et la durabilité des effets obtenus lors de sa mise en œuvre. </w:t>
            </w:r>
          </w:p>
          <w:p w14:paraId="7F9E95FA" w14:textId="77777777" w:rsidR="00382ECE" w:rsidRPr="008241C1" w:rsidRDefault="00382ECE" w:rsidP="00266A0C">
            <w:pPr>
              <w:pStyle w:val="PrformatHTML"/>
              <w:shd w:val="clear" w:color="auto" w:fill="FFFFFF"/>
              <w:spacing w:line="276" w:lineRule="auto"/>
              <w:jc w:val="both"/>
              <w:rPr>
                <w:rFonts w:asciiTheme="minorHAnsi" w:hAnsiTheme="minorHAnsi" w:cstheme="minorHAnsi"/>
                <w:sz w:val="24"/>
                <w:szCs w:val="24"/>
                <w:lang w:eastAsia="en-US"/>
              </w:rPr>
            </w:pPr>
          </w:p>
          <w:p w14:paraId="01EC91E2" w14:textId="77777777" w:rsidR="00F55014" w:rsidRPr="008241C1" w:rsidRDefault="00DC35E3" w:rsidP="00266A0C">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De façon spécifique, le consultant</w:t>
            </w:r>
            <w:r w:rsidR="00662D69">
              <w:rPr>
                <w:rFonts w:asciiTheme="minorHAnsi" w:hAnsiTheme="minorHAnsi" w:cstheme="minorHAnsi"/>
              </w:rPr>
              <w:t xml:space="preserve"> </w:t>
            </w:r>
            <w:r w:rsidR="004B3A0D">
              <w:rPr>
                <w:rFonts w:asciiTheme="minorHAnsi" w:hAnsiTheme="minorHAnsi" w:cstheme="minorHAnsi"/>
              </w:rPr>
              <w:t>international</w:t>
            </w:r>
            <w:r w:rsidR="00FC48A7">
              <w:rPr>
                <w:rFonts w:asciiTheme="minorHAnsi" w:hAnsiTheme="minorHAnsi" w:cstheme="minorHAnsi"/>
              </w:rPr>
              <w:t>/national</w:t>
            </w:r>
            <w:r w:rsidR="00D77FE5" w:rsidRPr="008241C1">
              <w:rPr>
                <w:rFonts w:asciiTheme="minorHAnsi" w:hAnsiTheme="minorHAnsi" w:cstheme="minorHAnsi"/>
              </w:rPr>
              <w:t>,</w:t>
            </w:r>
            <w:r w:rsidR="00662D69">
              <w:rPr>
                <w:rFonts w:asciiTheme="minorHAnsi" w:hAnsiTheme="minorHAnsi" w:cstheme="minorHAnsi"/>
              </w:rPr>
              <w:t xml:space="preserve"> </w:t>
            </w:r>
            <w:r w:rsidRPr="008241C1">
              <w:rPr>
                <w:rFonts w:asciiTheme="minorHAnsi" w:hAnsiTheme="minorHAnsi" w:cstheme="minorHAnsi"/>
              </w:rPr>
              <w:t>sous la coordination d</w:t>
            </w:r>
            <w:r w:rsidR="009C7381" w:rsidRPr="008241C1">
              <w:rPr>
                <w:rFonts w:asciiTheme="minorHAnsi" w:hAnsiTheme="minorHAnsi" w:cstheme="minorHAnsi"/>
              </w:rPr>
              <w:t>u MSPLS</w:t>
            </w:r>
            <w:r w:rsidR="00FC48A7">
              <w:rPr>
                <w:rFonts w:asciiTheme="minorHAnsi" w:hAnsiTheme="minorHAnsi" w:cstheme="minorHAnsi"/>
              </w:rPr>
              <w:t xml:space="preserve"> à travers le PNSR</w:t>
            </w:r>
            <w:r w:rsidR="004B3A0D">
              <w:rPr>
                <w:rFonts w:asciiTheme="minorHAnsi" w:hAnsiTheme="minorHAnsi" w:cstheme="minorHAnsi"/>
              </w:rPr>
              <w:t xml:space="preserve"> </w:t>
            </w:r>
            <w:r w:rsidR="002B1F40">
              <w:rPr>
                <w:rFonts w:asciiTheme="minorHAnsi" w:hAnsiTheme="minorHAnsi" w:cstheme="minorHAnsi"/>
              </w:rPr>
              <w:t>et UNFPA</w:t>
            </w:r>
            <w:r w:rsidR="00FC48A7">
              <w:rPr>
                <w:rFonts w:asciiTheme="minorHAnsi" w:hAnsiTheme="minorHAnsi" w:cstheme="minorHAnsi"/>
              </w:rPr>
              <w:t>,</w:t>
            </w:r>
            <w:r w:rsidRPr="008241C1">
              <w:rPr>
                <w:rFonts w:asciiTheme="minorHAnsi" w:hAnsiTheme="minorHAnsi" w:cstheme="minorHAnsi"/>
              </w:rPr>
              <w:t xml:space="preserve"> aura</w:t>
            </w:r>
            <w:r w:rsidR="006000C1">
              <w:rPr>
                <w:rFonts w:asciiTheme="minorHAnsi" w:hAnsiTheme="minorHAnsi" w:cstheme="minorHAnsi"/>
              </w:rPr>
              <w:t xml:space="preserve"> comme tâche de</w:t>
            </w:r>
            <w:r w:rsidRPr="008241C1">
              <w:rPr>
                <w:rFonts w:asciiTheme="minorHAnsi" w:hAnsiTheme="minorHAnsi" w:cstheme="minorHAnsi"/>
              </w:rPr>
              <w:t> :</w:t>
            </w:r>
          </w:p>
          <w:p w14:paraId="6BA53A87" w14:textId="77777777" w:rsidR="00E01CEC" w:rsidRPr="00927B87" w:rsidRDefault="00E01CEC" w:rsidP="00E01CEC">
            <w:pPr>
              <w:pStyle w:val="Paragraphedeliste"/>
              <w:widowControl w:val="0"/>
              <w:numPr>
                <w:ilvl w:val="0"/>
                <w:numId w:val="4"/>
              </w:numPr>
              <w:spacing w:after="0" w:line="240" w:lineRule="auto"/>
              <w:contextualSpacing w:val="0"/>
              <w:jc w:val="both"/>
              <w:rPr>
                <w:rFonts w:cstheme="minorHAnsi"/>
                <w:color w:val="000000"/>
                <w:sz w:val="24"/>
                <w:szCs w:val="24"/>
              </w:rPr>
            </w:pPr>
            <w:r w:rsidRPr="00927B87">
              <w:rPr>
                <w:rFonts w:cstheme="minorHAnsi"/>
                <w:color w:val="000000"/>
                <w:sz w:val="24"/>
                <w:szCs w:val="24"/>
              </w:rPr>
              <w:t>Faire une analyse de la pertinence et de la cohérence de l’approche mentorat SONU pour le renforcement de l’offre des SONU telles que mises en œuvre dans les 14 provinces cibles ;</w:t>
            </w:r>
          </w:p>
          <w:p w14:paraId="3CC34C6D" w14:textId="77777777" w:rsidR="00E01CEC" w:rsidRPr="00927B87" w:rsidRDefault="00E01CEC" w:rsidP="00E01CEC">
            <w:pPr>
              <w:pStyle w:val="Paragraphedeliste"/>
              <w:widowControl w:val="0"/>
              <w:numPr>
                <w:ilvl w:val="0"/>
                <w:numId w:val="4"/>
              </w:numPr>
              <w:spacing w:after="0" w:line="240" w:lineRule="auto"/>
              <w:contextualSpacing w:val="0"/>
              <w:jc w:val="both"/>
              <w:rPr>
                <w:rFonts w:cstheme="minorHAnsi"/>
                <w:color w:val="000000"/>
                <w:sz w:val="24"/>
                <w:szCs w:val="24"/>
              </w:rPr>
            </w:pPr>
            <w:r w:rsidRPr="00927B87">
              <w:rPr>
                <w:rFonts w:cstheme="minorHAnsi"/>
                <w:color w:val="000000"/>
                <w:sz w:val="24"/>
                <w:szCs w:val="24"/>
              </w:rPr>
              <w:t>Dégager les premiers éléments d'impact en termes de retombées positives ou négatives de l’approche mentorat sur le renforcement de l’offre des SONU de qualité au Burundi (14 Provinces cibles) ;</w:t>
            </w:r>
          </w:p>
          <w:p w14:paraId="2B57B410" w14:textId="77777777" w:rsidR="00E01CEC" w:rsidRPr="00927B87" w:rsidRDefault="00E01CEC" w:rsidP="00E01CEC">
            <w:pPr>
              <w:pStyle w:val="Paragraphedeliste"/>
              <w:widowControl w:val="0"/>
              <w:numPr>
                <w:ilvl w:val="0"/>
                <w:numId w:val="4"/>
              </w:numPr>
              <w:spacing w:after="0" w:line="240" w:lineRule="auto"/>
              <w:contextualSpacing w:val="0"/>
              <w:jc w:val="both"/>
              <w:rPr>
                <w:rFonts w:cstheme="minorHAnsi"/>
                <w:color w:val="000000"/>
                <w:sz w:val="24"/>
                <w:szCs w:val="24"/>
              </w:rPr>
            </w:pPr>
            <w:r w:rsidRPr="00927B87">
              <w:rPr>
                <w:rFonts w:cstheme="minorHAnsi"/>
                <w:color w:val="000000"/>
                <w:sz w:val="24"/>
                <w:szCs w:val="24"/>
              </w:rPr>
              <w:t xml:space="preserve">Proposer des stratégies et des actions concrètes à mettre en œuvre pour capitaliser </w:t>
            </w:r>
            <w:r w:rsidR="006000C1">
              <w:rPr>
                <w:rFonts w:cstheme="minorHAnsi"/>
                <w:color w:val="000000"/>
                <w:sz w:val="24"/>
                <w:szCs w:val="24"/>
              </w:rPr>
              <w:t xml:space="preserve"> </w:t>
            </w:r>
            <w:r w:rsidRPr="00927B87">
              <w:rPr>
                <w:rFonts w:cstheme="minorHAnsi"/>
                <w:color w:val="000000"/>
                <w:sz w:val="24"/>
                <w:szCs w:val="24"/>
              </w:rPr>
              <w:t xml:space="preserve"> les acquis de l’approche mentorat SONU.</w:t>
            </w:r>
          </w:p>
          <w:p w14:paraId="5EA381B5" w14:textId="77777777" w:rsidR="00382ECE" w:rsidRPr="008241C1" w:rsidRDefault="00382ECE" w:rsidP="00E01CEC">
            <w:pPr>
              <w:spacing w:line="276" w:lineRule="auto"/>
              <w:ind w:left="360"/>
              <w:jc w:val="both"/>
              <w:rPr>
                <w:rFonts w:asciiTheme="minorHAnsi" w:hAnsiTheme="minorHAnsi" w:cstheme="minorHAnsi"/>
              </w:rPr>
            </w:pPr>
          </w:p>
        </w:tc>
      </w:tr>
      <w:tr w:rsidR="008241C1" w:rsidRPr="008241C1" w14:paraId="1E09C194" w14:textId="77777777" w:rsidTr="003C0350">
        <w:tblPrEx>
          <w:tblCellMar>
            <w:left w:w="148" w:type="dxa"/>
            <w:right w:w="148" w:type="dxa"/>
          </w:tblCellMar>
        </w:tblPrEx>
        <w:tc>
          <w:tcPr>
            <w:tcW w:w="2835" w:type="dxa"/>
            <w:tcBorders>
              <w:top w:val="single" w:sz="6" w:space="0" w:color="auto"/>
              <w:left w:val="double" w:sz="6" w:space="0" w:color="auto"/>
              <w:bottom w:val="single" w:sz="6" w:space="0" w:color="auto"/>
            </w:tcBorders>
            <w:shd w:val="clear" w:color="auto" w:fill="auto"/>
          </w:tcPr>
          <w:p w14:paraId="2E21F587" w14:textId="77777777" w:rsidR="00B1484F" w:rsidRPr="008241C1" w:rsidRDefault="00B1484F" w:rsidP="00266A0C">
            <w:pPr>
              <w:tabs>
                <w:tab w:val="left" w:pos="-720"/>
              </w:tabs>
              <w:suppressAutoHyphens/>
              <w:spacing w:before="40" w:after="54" w:line="276" w:lineRule="auto"/>
              <w:jc w:val="both"/>
              <w:rPr>
                <w:rFonts w:asciiTheme="minorHAnsi" w:hAnsiTheme="minorHAnsi" w:cstheme="minorHAnsi"/>
                <w:bCs/>
              </w:rPr>
            </w:pPr>
            <w:r w:rsidRPr="008241C1">
              <w:rPr>
                <w:rFonts w:asciiTheme="minorHAnsi" w:hAnsiTheme="minorHAnsi" w:cstheme="minorHAnsi"/>
                <w:bCs/>
              </w:rPr>
              <w:lastRenderedPageBreak/>
              <w:t xml:space="preserve">Méthodologie </w:t>
            </w:r>
          </w:p>
        </w:tc>
        <w:tc>
          <w:tcPr>
            <w:tcW w:w="7938" w:type="dxa"/>
            <w:tcBorders>
              <w:top w:val="single" w:sz="6" w:space="0" w:color="auto"/>
              <w:left w:val="single" w:sz="6" w:space="0" w:color="auto"/>
              <w:bottom w:val="single" w:sz="6" w:space="0" w:color="auto"/>
              <w:right w:val="double" w:sz="6" w:space="0" w:color="auto"/>
            </w:tcBorders>
            <w:shd w:val="clear" w:color="auto" w:fill="auto"/>
          </w:tcPr>
          <w:p w14:paraId="67D4FA02" w14:textId="77777777" w:rsidR="00970D53" w:rsidRDefault="00970D53" w:rsidP="00970D53">
            <w:pPr>
              <w:rPr>
                <w:rFonts w:cstheme="minorHAnsi"/>
              </w:rPr>
            </w:pPr>
            <w:r w:rsidRPr="00927B87">
              <w:rPr>
                <w:rFonts w:cstheme="minorHAnsi"/>
              </w:rPr>
              <w:t xml:space="preserve">L’évaluation sera réalisée par des comités </w:t>
            </w:r>
            <w:r w:rsidR="004B3A0D" w:rsidRPr="00927B87">
              <w:rPr>
                <w:rFonts w:cstheme="minorHAnsi"/>
              </w:rPr>
              <w:t>techniques</w:t>
            </w:r>
            <w:r w:rsidRPr="00927B87">
              <w:rPr>
                <w:rFonts w:cstheme="minorHAnsi"/>
              </w:rPr>
              <w:t xml:space="preserve"> et de pilotage qui seront appuyé</w:t>
            </w:r>
            <w:r w:rsidR="00720BE2">
              <w:rPr>
                <w:rFonts w:cstheme="minorHAnsi"/>
              </w:rPr>
              <w:t>s</w:t>
            </w:r>
            <w:r w:rsidRPr="00927B87">
              <w:rPr>
                <w:rFonts w:cstheme="minorHAnsi"/>
              </w:rPr>
              <w:t xml:space="preserve"> </w:t>
            </w:r>
            <w:r w:rsidR="002B1F40" w:rsidRPr="00927B87">
              <w:rPr>
                <w:rFonts w:cstheme="minorHAnsi"/>
              </w:rPr>
              <w:t>par</w:t>
            </w:r>
            <w:r w:rsidR="002B1F40">
              <w:rPr>
                <w:rFonts w:cstheme="minorHAnsi"/>
              </w:rPr>
              <w:t xml:space="preserve"> un</w:t>
            </w:r>
            <w:r w:rsidR="004B3A0D">
              <w:rPr>
                <w:rFonts w:cstheme="minorHAnsi"/>
              </w:rPr>
              <w:t xml:space="preserve"> </w:t>
            </w:r>
            <w:r w:rsidR="002B1F40">
              <w:rPr>
                <w:rFonts w:cstheme="minorHAnsi"/>
              </w:rPr>
              <w:t xml:space="preserve">consultant </w:t>
            </w:r>
            <w:r w:rsidR="002B1F40" w:rsidRPr="00927B87">
              <w:rPr>
                <w:rFonts w:cstheme="minorHAnsi"/>
              </w:rPr>
              <w:t>international</w:t>
            </w:r>
            <w:r w:rsidR="00720BE2">
              <w:rPr>
                <w:rFonts w:cstheme="minorHAnsi"/>
              </w:rPr>
              <w:t> /national.</w:t>
            </w:r>
          </w:p>
          <w:p w14:paraId="708800E1" w14:textId="77777777" w:rsidR="00B334FB" w:rsidRPr="00927B87" w:rsidRDefault="00B334FB" w:rsidP="00970D53">
            <w:pPr>
              <w:rPr>
                <w:rFonts w:cstheme="minorHAnsi"/>
              </w:rPr>
            </w:pPr>
          </w:p>
          <w:p w14:paraId="2C96B5FE" w14:textId="77777777" w:rsidR="00970D53" w:rsidRDefault="00970D53" w:rsidP="00970D53">
            <w:pPr>
              <w:rPr>
                <w:rFonts w:cstheme="minorHAnsi"/>
              </w:rPr>
            </w:pPr>
            <w:r w:rsidRPr="00927B87">
              <w:rPr>
                <w:rFonts w:cstheme="minorHAnsi"/>
              </w:rPr>
              <w:t xml:space="preserve">L’évaluation va passer par les étapes suivantes : </w:t>
            </w:r>
          </w:p>
          <w:p w14:paraId="2CD0ADA9" w14:textId="77777777" w:rsidR="00B334FB" w:rsidRPr="00927B87" w:rsidRDefault="00B334FB" w:rsidP="00970D53">
            <w:pPr>
              <w:rPr>
                <w:rFonts w:cstheme="minorHAnsi"/>
              </w:rPr>
            </w:pPr>
          </w:p>
          <w:p w14:paraId="5CA304CF" w14:textId="77777777" w:rsidR="00970D53" w:rsidRPr="00927B87" w:rsidRDefault="00970D53" w:rsidP="00970D53">
            <w:pPr>
              <w:pStyle w:val="Paragraphedeliste"/>
              <w:widowControl w:val="0"/>
              <w:numPr>
                <w:ilvl w:val="0"/>
                <w:numId w:val="39"/>
              </w:numPr>
              <w:spacing w:after="0" w:line="240" w:lineRule="auto"/>
              <w:contextualSpacing w:val="0"/>
              <w:jc w:val="both"/>
              <w:rPr>
                <w:rFonts w:cstheme="minorHAnsi"/>
                <w:color w:val="000000"/>
                <w:sz w:val="24"/>
                <w:szCs w:val="24"/>
              </w:rPr>
            </w:pPr>
            <w:r w:rsidRPr="00927B87">
              <w:rPr>
                <w:rFonts w:cstheme="minorHAnsi"/>
                <w:color w:val="000000"/>
                <w:sz w:val="24"/>
                <w:szCs w:val="24"/>
              </w:rPr>
              <w:t xml:space="preserve">La première étape sera de faire une revue documentaire des documents de mise en œuvre de l’approche mentorat SONU pour collecter des informations permettant l’analyse de la pertinence et cohérence de l’approche mentorat SONU telle que mise en œuvre dans les 14 Provinces cibles (documents du modèles, outils de formation et évaluation, rapports de formation et des supervisions formatives). </w:t>
            </w:r>
          </w:p>
          <w:p w14:paraId="74FC5FEC" w14:textId="77777777" w:rsidR="00970D53" w:rsidRPr="00927B87" w:rsidRDefault="00970D53" w:rsidP="00970D53">
            <w:pPr>
              <w:pStyle w:val="Paragraphedeliste"/>
              <w:widowControl w:val="0"/>
              <w:numPr>
                <w:ilvl w:val="0"/>
                <w:numId w:val="39"/>
              </w:numPr>
              <w:spacing w:after="0" w:line="240" w:lineRule="auto"/>
              <w:contextualSpacing w:val="0"/>
              <w:jc w:val="both"/>
              <w:rPr>
                <w:rFonts w:cstheme="minorHAnsi"/>
                <w:color w:val="000000"/>
                <w:sz w:val="24"/>
                <w:szCs w:val="24"/>
              </w:rPr>
            </w:pPr>
            <w:r w:rsidRPr="00927B87">
              <w:rPr>
                <w:rFonts w:cstheme="minorHAnsi"/>
                <w:color w:val="000000"/>
                <w:sz w:val="24"/>
                <w:szCs w:val="24"/>
              </w:rPr>
              <w:t xml:space="preserve">La deuxième étape va consister à collecter et analyser les données relatives à la mise en œuvre de l’approche mentorat au niveau des centres de formation théorique, sites de stage pratique, FOSA bénéficiaires et opinions des différentes parties prenantes à la mise en œuvre de l’approche mentorat SONU </w:t>
            </w:r>
          </w:p>
          <w:p w14:paraId="10F8E210" w14:textId="77777777" w:rsidR="00970D53" w:rsidRPr="00927B87" w:rsidRDefault="00970D53" w:rsidP="00970D53">
            <w:pPr>
              <w:pStyle w:val="Paragraphedeliste"/>
              <w:widowControl w:val="0"/>
              <w:numPr>
                <w:ilvl w:val="0"/>
                <w:numId w:val="39"/>
              </w:numPr>
              <w:spacing w:after="0" w:line="240" w:lineRule="auto"/>
              <w:contextualSpacing w:val="0"/>
              <w:jc w:val="both"/>
              <w:rPr>
                <w:rFonts w:cstheme="minorHAnsi"/>
                <w:color w:val="000000"/>
                <w:sz w:val="24"/>
                <w:szCs w:val="24"/>
              </w:rPr>
            </w:pPr>
            <w:r w:rsidRPr="00927B87">
              <w:rPr>
                <w:rFonts w:cstheme="minorHAnsi"/>
                <w:color w:val="000000"/>
                <w:sz w:val="24"/>
                <w:szCs w:val="24"/>
              </w:rPr>
              <w:t>Rédaction du rapport de l’évaluation finale du projet</w:t>
            </w:r>
          </w:p>
          <w:p w14:paraId="37054712" w14:textId="77777777" w:rsidR="00B1484F" w:rsidRPr="008241C1" w:rsidRDefault="00970D53" w:rsidP="00970D53">
            <w:pPr>
              <w:autoSpaceDE w:val="0"/>
              <w:autoSpaceDN w:val="0"/>
              <w:adjustRightInd w:val="0"/>
              <w:spacing w:line="276" w:lineRule="auto"/>
              <w:jc w:val="both"/>
              <w:rPr>
                <w:rFonts w:asciiTheme="minorHAnsi" w:hAnsiTheme="minorHAnsi" w:cstheme="minorHAnsi"/>
              </w:rPr>
            </w:pPr>
            <w:r w:rsidRPr="00927B87">
              <w:rPr>
                <w:rFonts w:cstheme="minorHAnsi"/>
              </w:rPr>
              <w:t>Cette évaluation cible les provinces où l’approche mentorat SONU a été réalisée (14 Provinces)</w:t>
            </w:r>
            <w:r w:rsidRPr="00927B87">
              <w:rPr>
                <w:rFonts w:cstheme="minorHAnsi"/>
                <w:color w:val="000000"/>
              </w:rPr>
              <w:t xml:space="preserve"> et utilisera une méthodologie quantitative et qualitative. Les outils de collecte des données seront des questionnaires structurés et guides d’interview qui seront adressés aux différentes</w:t>
            </w:r>
            <w:r w:rsidR="004B3A0D">
              <w:rPr>
                <w:rFonts w:asciiTheme="minorHAnsi" w:eastAsia="Times" w:hAnsiTheme="minorHAnsi" w:cstheme="minorHAnsi"/>
                <w:lang w:eastAsia="en-GB"/>
              </w:rPr>
              <w:t xml:space="preserve"> cibles.</w:t>
            </w:r>
          </w:p>
          <w:p w14:paraId="60844D69" w14:textId="77777777" w:rsidR="00B1484F" w:rsidRPr="008241C1" w:rsidRDefault="00B1484F" w:rsidP="00266A0C">
            <w:pPr>
              <w:pStyle w:val="Paragraphedeliste"/>
              <w:autoSpaceDE w:val="0"/>
              <w:autoSpaceDN w:val="0"/>
              <w:adjustRightInd w:val="0"/>
              <w:spacing w:after="0"/>
              <w:ind w:left="360"/>
              <w:jc w:val="both"/>
              <w:rPr>
                <w:rFonts w:asciiTheme="minorHAnsi" w:hAnsiTheme="minorHAnsi" w:cstheme="minorHAnsi"/>
                <w:sz w:val="24"/>
                <w:szCs w:val="24"/>
              </w:rPr>
            </w:pPr>
          </w:p>
          <w:p w14:paraId="4E9AA71C" w14:textId="77777777" w:rsidR="00B1484F" w:rsidRPr="008241C1" w:rsidRDefault="004B3A0D" w:rsidP="00266A0C">
            <w:pPr>
              <w:pStyle w:val="Paragraphedeliste"/>
              <w:ind w:left="0"/>
              <w:jc w:val="both"/>
              <w:rPr>
                <w:rFonts w:asciiTheme="minorHAnsi" w:hAnsiTheme="minorHAnsi" w:cstheme="minorHAnsi"/>
                <w:sz w:val="24"/>
                <w:szCs w:val="24"/>
              </w:rPr>
            </w:pPr>
            <w:r>
              <w:rPr>
                <w:rFonts w:asciiTheme="minorHAnsi" w:eastAsia="Times" w:hAnsiTheme="minorHAnsi" w:cstheme="minorHAnsi"/>
                <w:sz w:val="24"/>
                <w:szCs w:val="24"/>
                <w:lang w:eastAsia="en-GB"/>
              </w:rPr>
              <w:t>Le consultant travaillera</w:t>
            </w:r>
            <w:r w:rsidR="00B1484F" w:rsidRPr="008241C1">
              <w:rPr>
                <w:rFonts w:asciiTheme="minorHAnsi" w:eastAsia="Times" w:hAnsiTheme="minorHAnsi" w:cstheme="minorHAnsi"/>
                <w:sz w:val="24"/>
                <w:szCs w:val="24"/>
                <w:lang w:eastAsia="en-GB"/>
              </w:rPr>
              <w:t xml:space="preserve"> en collaboration avec le MSPLS/PNSR et UNFPA</w:t>
            </w:r>
          </w:p>
        </w:tc>
      </w:tr>
      <w:tr w:rsidR="008241C1" w:rsidRPr="008241C1" w14:paraId="4FD95366" w14:textId="77777777" w:rsidTr="00322584">
        <w:tblPrEx>
          <w:tblCellMar>
            <w:left w:w="148" w:type="dxa"/>
            <w:right w:w="148" w:type="dxa"/>
          </w:tblCellMar>
        </w:tblPrEx>
        <w:trPr>
          <w:trHeight w:val="475"/>
        </w:trPr>
        <w:tc>
          <w:tcPr>
            <w:tcW w:w="2835" w:type="dxa"/>
            <w:tcBorders>
              <w:top w:val="single" w:sz="6" w:space="0" w:color="auto"/>
              <w:left w:val="double" w:sz="6" w:space="0" w:color="auto"/>
              <w:bottom w:val="single" w:sz="6" w:space="0" w:color="auto"/>
            </w:tcBorders>
            <w:shd w:val="clear" w:color="auto" w:fill="auto"/>
          </w:tcPr>
          <w:p w14:paraId="77540D86" w14:textId="77777777" w:rsidR="00B1484F" w:rsidRPr="008241C1" w:rsidRDefault="00B1484F" w:rsidP="00266A0C">
            <w:pPr>
              <w:spacing w:line="276" w:lineRule="auto"/>
              <w:jc w:val="both"/>
              <w:rPr>
                <w:rFonts w:asciiTheme="minorHAnsi" w:hAnsiTheme="minorHAnsi" w:cstheme="minorHAnsi"/>
              </w:rPr>
            </w:pPr>
            <w:r w:rsidRPr="008241C1">
              <w:rPr>
                <w:rFonts w:asciiTheme="minorHAnsi" w:hAnsiTheme="minorHAnsi" w:cstheme="minorHAnsi"/>
              </w:rPr>
              <w:t xml:space="preserve">Durée de la consultance </w:t>
            </w:r>
          </w:p>
        </w:tc>
        <w:tc>
          <w:tcPr>
            <w:tcW w:w="7938" w:type="dxa"/>
            <w:tcBorders>
              <w:top w:val="single" w:sz="6" w:space="0" w:color="auto"/>
              <w:left w:val="single" w:sz="6" w:space="0" w:color="auto"/>
              <w:bottom w:val="single" w:sz="6" w:space="0" w:color="auto"/>
              <w:right w:val="double" w:sz="6" w:space="0" w:color="auto"/>
            </w:tcBorders>
            <w:shd w:val="clear" w:color="auto" w:fill="auto"/>
          </w:tcPr>
          <w:p w14:paraId="6E97C7CF" w14:textId="77777777" w:rsidR="00490027" w:rsidRPr="008241C1" w:rsidRDefault="00B1484F" w:rsidP="009B517D">
            <w:pPr>
              <w:spacing w:line="276" w:lineRule="auto"/>
              <w:jc w:val="both"/>
              <w:rPr>
                <w:rFonts w:asciiTheme="minorHAnsi" w:hAnsiTheme="minorHAnsi" w:cstheme="minorHAnsi"/>
              </w:rPr>
            </w:pPr>
            <w:r w:rsidRPr="008241C1">
              <w:rPr>
                <w:rFonts w:asciiTheme="minorHAnsi" w:hAnsiTheme="minorHAnsi" w:cstheme="minorHAnsi"/>
              </w:rPr>
              <w:t>La durée pour </w:t>
            </w:r>
            <w:r w:rsidR="005F117D" w:rsidRPr="008241C1">
              <w:rPr>
                <w:rFonts w:asciiTheme="minorHAnsi" w:hAnsiTheme="minorHAnsi" w:cstheme="minorHAnsi"/>
              </w:rPr>
              <w:t>l</w:t>
            </w:r>
            <w:r w:rsidR="002B13D3" w:rsidRPr="008241C1">
              <w:rPr>
                <w:rFonts w:asciiTheme="minorHAnsi" w:hAnsiTheme="minorHAnsi" w:cstheme="minorHAnsi"/>
              </w:rPr>
              <w:t>e</w:t>
            </w:r>
            <w:r w:rsidRPr="008241C1">
              <w:rPr>
                <w:rFonts w:asciiTheme="minorHAnsi" w:hAnsiTheme="minorHAnsi" w:cstheme="minorHAnsi"/>
              </w:rPr>
              <w:t xml:space="preserve"> consultant </w:t>
            </w:r>
            <w:r w:rsidR="00B967DB">
              <w:rPr>
                <w:rFonts w:asciiTheme="minorHAnsi" w:hAnsiTheme="minorHAnsi" w:cstheme="minorHAnsi"/>
              </w:rPr>
              <w:t>inter</w:t>
            </w:r>
            <w:r w:rsidRPr="008241C1">
              <w:rPr>
                <w:rFonts w:asciiTheme="minorHAnsi" w:hAnsiTheme="minorHAnsi" w:cstheme="minorHAnsi"/>
              </w:rPr>
              <w:t>nationa</w:t>
            </w:r>
            <w:r w:rsidR="005F117D" w:rsidRPr="008241C1">
              <w:rPr>
                <w:rFonts w:asciiTheme="minorHAnsi" w:hAnsiTheme="minorHAnsi" w:cstheme="minorHAnsi"/>
              </w:rPr>
              <w:t xml:space="preserve">l </w:t>
            </w:r>
            <w:r w:rsidR="00CC4C57">
              <w:rPr>
                <w:rFonts w:asciiTheme="minorHAnsi" w:hAnsiTheme="minorHAnsi" w:cstheme="minorHAnsi"/>
              </w:rPr>
              <w:t xml:space="preserve">/national </w:t>
            </w:r>
            <w:r w:rsidR="005F117D" w:rsidRPr="008241C1">
              <w:rPr>
                <w:rFonts w:asciiTheme="minorHAnsi" w:hAnsiTheme="minorHAnsi" w:cstheme="minorHAnsi"/>
              </w:rPr>
              <w:t>est de</w:t>
            </w:r>
            <w:r w:rsidRPr="008241C1">
              <w:rPr>
                <w:rFonts w:asciiTheme="minorHAnsi" w:hAnsiTheme="minorHAnsi" w:cstheme="minorHAnsi"/>
              </w:rPr>
              <w:t> </w:t>
            </w:r>
            <w:r w:rsidR="008E770C" w:rsidRPr="00A91FB7">
              <w:rPr>
                <w:rFonts w:asciiTheme="minorHAnsi" w:hAnsiTheme="minorHAnsi" w:cstheme="minorHAnsi"/>
                <w:color w:val="FF0000"/>
              </w:rPr>
              <w:t>30</w:t>
            </w:r>
            <w:r w:rsidR="003C0350" w:rsidRPr="00A91FB7">
              <w:rPr>
                <w:rFonts w:asciiTheme="minorHAnsi" w:hAnsiTheme="minorHAnsi" w:cstheme="minorHAnsi"/>
                <w:color w:val="FF0000"/>
              </w:rPr>
              <w:t xml:space="preserve"> jours</w:t>
            </w:r>
            <w:r w:rsidR="00662D69" w:rsidRPr="00A91FB7">
              <w:rPr>
                <w:rFonts w:asciiTheme="minorHAnsi" w:hAnsiTheme="minorHAnsi" w:cstheme="minorHAnsi"/>
                <w:color w:val="FF0000"/>
              </w:rPr>
              <w:t xml:space="preserve"> </w:t>
            </w:r>
            <w:r w:rsidR="003C0350" w:rsidRPr="00A91FB7">
              <w:rPr>
                <w:rFonts w:asciiTheme="minorHAnsi" w:hAnsiTheme="minorHAnsi" w:cstheme="minorHAnsi"/>
                <w:color w:val="FF0000"/>
              </w:rPr>
              <w:t>ouvrables</w:t>
            </w:r>
            <w:r w:rsidR="00412DE5" w:rsidRPr="00A91FB7">
              <w:rPr>
                <w:rFonts w:asciiTheme="minorHAnsi" w:hAnsiTheme="minorHAnsi" w:cstheme="minorHAnsi"/>
                <w:color w:val="FF0000"/>
              </w:rPr>
              <w:t> </w:t>
            </w:r>
            <w:r w:rsidR="008E770C" w:rsidRPr="00A91FB7">
              <w:rPr>
                <w:rFonts w:asciiTheme="minorHAnsi" w:hAnsiTheme="minorHAnsi" w:cstheme="minorHAnsi"/>
                <w:color w:val="FF0000"/>
              </w:rPr>
              <w:t xml:space="preserve"> </w:t>
            </w:r>
          </w:p>
        </w:tc>
      </w:tr>
      <w:tr w:rsidR="008241C1" w:rsidRPr="008241C1" w14:paraId="3754379D" w14:textId="77777777" w:rsidTr="00322584">
        <w:tblPrEx>
          <w:tblCellMar>
            <w:left w:w="148" w:type="dxa"/>
            <w:right w:w="148" w:type="dxa"/>
          </w:tblCellMar>
        </w:tblPrEx>
        <w:trPr>
          <w:trHeight w:val="681"/>
        </w:trPr>
        <w:tc>
          <w:tcPr>
            <w:tcW w:w="2835" w:type="dxa"/>
            <w:tcBorders>
              <w:top w:val="single" w:sz="6" w:space="0" w:color="auto"/>
              <w:left w:val="double" w:sz="6" w:space="0" w:color="auto"/>
              <w:bottom w:val="single" w:sz="6" w:space="0" w:color="auto"/>
            </w:tcBorders>
            <w:shd w:val="clear" w:color="auto" w:fill="auto"/>
          </w:tcPr>
          <w:p w14:paraId="5F614BFD" w14:textId="77777777" w:rsidR="00B1484F" w:rsidRPr="008241C1" w:rsidRDefault="00B1484F" w:rsidP="00266A0C">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Lieu où va se dérouler le travail</w:t>
            </w:r>
          </w:p>
        </w:tc>
        <w:tc>
          <w:tcPr>
            <w:tcW w:w="7938" w:type="dxa"/>
            <w:tcBorders>
              <w:top w:val="single" w:sz="6" w:space="0" w:color="auto"/>
              <w:left w:val="single" w:sz="6" w:space="0" w:color="auto"/>
              <w:bottom w:val="single" w:sz="6" w:space="0" w:color="auto"/>
              <w:right w:val="double" w:sz="6" w:space="0" w:color="auto"/>
            </w:tcBorders>
            <w:shd w:val="clear" w:color="auto" w:fill="auto"/>
          </w:tcPr>
          <w:p w14:paraId="32AD243E" w14:textId="77777777" w:rsidR="00B1484F" w:rsidRPr="008241C1" w:rsidRDefault="00B1484F" w:rsidP="00970D53">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Principalement à Bujumbura avec des missions</w:t>
            </w:r>
            <w:r w:rsidR="008E770C">
              <w:rPr>
                <w:rFonts w:asciiTheme="minorHAnsi" w:hAnsiTheme="minorHAnsi" w:cstheme="minorHAnsi"/>
              </w:rPr>
              <w:t xml:space="preserve"> à l’intérieur du pays</w:t>
            </w:r>
            <w:r w:rsidRPr="008241C1">
              <w:rPr>
                <w:rFonts w:asciiTheme="minorHAnsi" w:hAnsiTheme="minorHAnsi" w:cstheme="minorHAnsi"/>
              </w:rPr>
              <w:t xml:space="preserve"> </w:t>
            </w:r>
            <w:r w:rsidR="00970D53">
              <w:rPr>
                <w:rFonts w:asciiTheme="minorHAnsi" w:hAnsiTheme="minorHAnsi" w:cstheme="minorHAnsi"/>
              </w:rPr>
              <w:t xml:space="preserve"> </w:t>
            </w:r>
          </w:p>
        </w:tc>
      </w:tr>
      <w:tr w:rsidR="008241C1" w:rsidRPr="008241C1" w14:paraId="6686DB63" w14:textId="77777777" w:rsidTr="003C0350">
        <w:tblPrEx>
          <w:tblCellMar>
            <w:left w:w="148" w:type="dxa"/>
            <w:right w:w="148" w:type="dxa"/>
          </w:tblCellMar>
        </w:tblPrEx>
        <w:trPr>
          <w:trHeight w:val="822"/>
        </w:trPr>
        <w:tc>
          <w:tcPr>
            <w:tcW w:w="2835" w:type="dxa"/>
            <w:tcBorders>
              <w:top w:val="single" w:sz="6" w:space="0" w:color="auto"/>
              <w:left w:val="double" w:sz="6" w:space="0" w:color="auto"/>
              <w:bottom w:val="single" w:sz="6" w:space="0" w:color="auto"/>
            </w:tcBorders>
            <w:shd w:val="clear" w:color="auto" w:fill="auto"/>
          </w:tcPr>
          <w:p w14:paraId="34E65AC0" w14:textId="77777777" w:rsidR="00B1484F" w:rsidRPr="008241C1" w:rsidRDefault="00B1484F" w:rsidP="00266A0C">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Déplacements</w:t>
            </w:r>
          </w:p>
        </w:tc>
        <w:tc>
          <w:tcPr>
            <w:tcW w:w="7938" w:type="dxa"/>
            <w:tcBorders>
              <w:top w:val="single" w:sz="6" w:space="0" w:color="auto"/>
              <w:left w:val="single" w:sz="6" w:space="0" w:color="auto"/>
              <w:bottom w:val="single" w:sz="6" w:space="0" w:color="auto"/>
              <w:right w:val="double" w:sz="6" w:space="0" w:color="auto"/>
            </w:tcBorders>
            <w:shd w:val="clear" w:color="auto" w:fill="auto"/>
          </w:tcPr>
          <w:p w14:paraId="043453FE" w14:textId="77777777" w:rsidR="00B1484F" w:rsidRPr="008241C1" w:rsidRDefault="00B1484F" w:rsidP="007412C7">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 xml:space="preserve">Le déplacement sur le terrain à l’intérieur du pays est estimé </w:t>
            </w:r>
            <w:r w:rsidR="007412C7">
              <w:rPr>
                <w:rFonts w:asciiTheme="minorHAnsi" w:hAnsiTheme="minorHAnsi" w:cstheme="minorHAnsi"/>
              </w:rPr>
              <w:t xml:space="preserve"> </w:t>
            </w:r>
            <w:r w:rsidR="007412C7" w:rsidRPr="00A91FB7">
              <w:rPr>
                <w:rFonts w:asciiTheme="minorHAnsi" w:hAnsiTheme="minorHAnsi" w:cstheme="minorHAnsi"/>
                <w:color w:val="FF0000"/>
              </w:rPr>
              <w:t>à 16</w:t>
            </w:r>
            <w:r w:rsidR="00EA0C1C" w:rsidRPr="00A91FB7">
              <w:rPr>
                <w:rFonts w:asciiTheme="minorHAnsi" w:hAnsiTheme="minorHAnsi" w:cstheme="minorHAnsi"/>
                <w:color w:val="FF0000"/>
              </w:rPr>
              <w:t xml:space="preserve"> jours </w:t>
            </w:r>
            <w:r w:rsidR="008E770C" w:rsidRPr="00A91FB7">
              <w:rPr>
                <w:rFonts w:asciiTheme="minorHAnsi" w:hAnsiTheme="minorHAnsi" w:cstheme="minorHAnsi"/>
                <w:color w:val="FF0000"/>
              </w:rPr>
              <w:t xml:space="preserve"> </w:t>
            </w:r>
            <w:r w:rsidR="00EA0C1C" w:rsidRPr="00A91FB7">
              <w:rPr>
                <w:rFonts w:asciiTheme="minorHAnsi" w:hAnsiTheme="minorHAnsi" w:cstheme="minorHAnsi"/>
                <w:color w:val="FF0000"/>
              </w:rPr>
              <w:t xml:space="preserve"> </w:t>
            </w:r>
            <w:r w:rsidR="00970D53" w:rsidRPr="00A91FB7">
              <w:rPr>
                <w:rFonts w:asciiTheme="minorHAnsi" w:hAnsiTheme="minorHAnsi" w:cstheme="minorHAnsi"/>
                <w:color w:val="FF0000"/>
              </w:rPr>
              <w:t xml:space="preserve"> </w:t>
            </w:r>
          </w:p>
        </w:tc>
      </w:tr>
      <w:tr w:rsidR="008241C1" w:rsidRPr="008241C1" w14:paraId="165997C9" w14:textId="77777777" w:rsidTr="003C0350">
        <w:tblPrEx>
          <w:tblCellMar>
            <w:left w:w="148" w:type="dxa"/>
            <w:right w:w="148" w:type="dxa"/>
          </w:tblCellMar>
        </w:tblPrEx>
        <w:trPr>
          <w:trHeight w:val="1104"/>
        </w:trPr>
        <w:tc>
          <w:tcPr>
            <w:tcW w:w="2835" w:type="dxa"/>
            <w:tcBorders>
              <w:top w:val="single" w:sz="6" w:space="0" w:color="auto"/>
              <w:left w:val="double" w:sz="6" w:space="0" w:color="auto"/>
              <w:bottom w:val="single" w:sz="6" w:space="0" w:color="auto"/>
            </w:tcBorders>
            <w:shd w:val="clear" w:color="auto" w:fill="auto"/>
          </w:tcPr>
          <w:p w14:paraId="5E9B53EF" w14:textId="77777777" w:rsidR="00B1484F" w:rsidRPr="008241C1" w:rsidRDefault="00B1484F" w:rsidP="00266A0C">
            <w:pPr>
              <w:spacing w:line="276" w:lineRule="auto"/>
              <w:jc w:val="both"/>
              <w:rPr>
                <w:rFonts w:asciiTheme="minorHAnsi" w:hAnsiTheme="minorHAnsi" w:cstheme="minorHAnsi"/>
              </w:rPr>
            </w:pPr>
            <w:r w:rsidRPr="008241C1">
              <w:rPr>
                <w:rFonts w:asciiTheme="minorHAnsi" w:hAnsiTheme="minorHAnsi" w:cstheme="minorHAnsi"/>
              </w:rPr>
              <w:t xml:space="preserve">Superviseur direct </w:t>
            </w:r>
          </w:p>
        </w:tc>
        <w:tc>
          <w:tcPr>
            <w:tcW w:w="7938" w:type="dxa"/>
            <w:tcBorders>
              <w:top w:val="single" w:sz="6" w:space="0" w:color="auto"/>
              <w:left w:val="single" w:sz="6" w:space="0" w:color="auto"/>
              <w:bottom w:val="single" w:sz="6" w:space="0" w:color="auto"/>
              <w:right w:val="double" w:sz="6" w:space="0" w:color="auto"/>
            </w:tcBorders>
            <w:shd w:val="clear" w:color="auto" w:fill="auto"/>
          </w:tcPr>
          <w:p w14:paraId="07EFD20B" w14:textId="77777777" w:rsidR="00B1484F" w:rsidRPr="008241C1" w:rsidRDefault="007412C7" w:rsidP="007412C7">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Le consultant sera </w:t>
            </w:r>
            <w:r w:rsidR="00B1484F" w:rsidRPr="008241C1">
              <w:rPr>
                <w:rFonts w:asciiTheme="minorHAnsi" w:hAnsiTheme="minorHAnsi" w:cstheme="minorHAnsi"/>
              </w:rPr>
              <w:t xml:space="preserve"> sous la supervision directe du Coordonnateur d</w:t>
            </w:r>
            <w:r w:rsidR="002B13D3" w:rsidRPr="008241C1">
              <w:rPr>
                <w:rFonts w:asciiTheme="minorHAnsi" w:hAnsiTheme="minorHAnsi" w:cstheme="minorHAnsi"/>
              </w:rPr>
              <w:t>u</w:t>
            </w:r>
            <w:r w:rsidR="00B1484F" w:rsidRPr="008241C1">
              <w:rPr>
                <w:rFonts w:asciiTheme="minorHAnsi" w:hAnsiTheme="minorHAnsi" w:cstheme="minorHAnsi"/>
              </w:rPr>
              <w:t xml:space="preserve"> programme à UNFPA</w:t>
            </w:r>
            <w:r w:rsidR="008A12A2">
              <w:rPr>
                <w:rFonts w:asciiTheme="minorHAnsi" w:hAnsiTheme="minorHAnsi" w:cstheme="minorHAnsi"/>
              </w:rPr>
              <w:t xml:space="preserve"> </w:t>
            </w:r>
            <w:r w:rsidR="008312B0" w:rsidRPr="008241C1">
              <w:rPr>
                <w:rFonts w:asciiTheme="minorHAnsi" w:hAnsiTheme="minorHAnsi" w:cstheme="minorHAnsi"/>
              </w:rPr>
              <w:t>et travailler</w:t>
            </w:r>
            <w:r>
              <w:rPr>
                <w:rFonts w:asciiTheme="minorHAnsi" w:hAnsiTheme="minorHAnsi" w:cstheme="minorHAnsi"/>
              </w:rPr>
              <w:t>a</w:t>
            </w:r>
            <w:r w:rsidR="00B1484F" w:rsidRPr="008241C1">
              <w:rPr>
                <w:rFonts w:asciiTheme="minorHAnsi" w:hAnsiTheme="minorHAnsi" w:cstheme="minorHAnsi"/>
              </w:rPr>
              <w:t xml:space="preserve"> en étroite collaboration avec le Ministère de la Santé Publique et de la Lutte contre le Sida à travers le Programme National de Santé de la Reproduction.</w:t>
            </w:r>
          </w:p>
        </w:tc>
      </w:tr>
      <w:tr w:rsidR="008241C1" w:rsidRPr="008241C1" w14:paraId="69E535EB" w14:textId="77777777" w:rsidTr="003D163F">
        <w:tblPrEx>
          <w:tblCellMar>
            <w:left w:w="148" w:type="dxa"/>
            <w:right w:w="148" w:type="dxa"/>
          </w:tblCellMar>
        </w:tblPrEx>
        <w:trPr>
          <w:trHeight w:val="832"/>
        </w:trPr>
        <w:tc>
          <w:tcPr>
            <w:tcW w:w="2835" w:type="dxa"/>
            <w:tcBorders>
              <w:top w:val="single" w:sz="6" w:space="0" w:color="auto"/>
              <w:left w:val="double" w:sz="6" w:space="0" w:color="auto"/>
              <w:bottom w:val="single" w:sz="6" w:space="0" w:color="auto"/>
            </w:tcBorders>
            <w:shd w:val="clear" w:color="auto" w:fill="auto"/>
          </w:tcPr>
          <w:p w14:paraId="0620BECF" w14:textId="77777777" w:rsidR="00B1484F" w:rsidRPr="008241C1" w:rsidRDefault="00B1484F" w:rsidP="00266A0C">
            <w:pPr>
              <w:tabs>
                <w:tab w:val="left" w:pos="-720"/>
              </w:tabs>
              <w:suppressAutoHyphens/>
              <w:spacing w:before="40" w:after="54" w:line="276" w:lineRule="auto"/>
              <w:jc w:val="both"/>
              <w:rPr>
                <w:rFonts w:asciiTheme="minorHAnsi" w:hAnsiTheme="minorHAnsi" w:cstheme="minorHAnsi"/>
              </w:rPr>
            </w:pPr>
            <w:r w:rsidRPr="008241C1">
              <w:rPr>
                <w:rFonts w:asciiTheme="minorHAnsi" w:hAnsiTheme="minorHAnsi" w:cstheme="minorHAnsi"/>
              </w:rPr>
              <w:t>Produit livrable</w:t>
            </w:r>
          </w:p>
        </w:tc>
        <w:tc>
          <w:tcPr>
            <w:tcW w:w="7938" w:type="dxa"/>
            <w:tcBorders>
              <w:top w:val="single" w:sz="6" w:space="0" w:color="auto"/>
              <w:left w:val="single" w:sz="6" w:space="0" w:color="auto"/>
              <w:bottom w:val="single" w:sz="6" w:space="0" w:color="auto"/>
              <w:right w:val="double" w:sz="6" w:space="0" w:color="auto"/>
            </w:tcBorders>
            <w:shd w:val="clear" w:color="auto" w:fill="auto"/>
          </w:tcPr>
          <w:p w14:paraId="3144B4EF" w14:textId="77777777" w:rsidR="00970D53" w:rsidRPr="00927B87" w:rsidRDefault="00970D53" w:rsidP="00970D53">
            <w:pPr>
              <w:rPr>
                <w:rFonts w:cstheme="minorHAnsi"/>
                <w:color w:val="000000"/>
              </w:rPr>
            </w:pPr>
            <w:r w:rsidRPr="00927B87">
              <w:rPr>
                <w:rFonts w:cstheme="minorHAnsi"/>
                <w:color w:val="000000"/>
              </w:rPr>
              <w:t>Le rapport de l’évaluation de l’approche mentorat validé est disponible au Programme National de la Santé de la Reproduction</w:t>
            </w:r>
            <w:r w:rsidR="00117317">
              <w:rPr>
                <w:rFonts w:cstheme="minorHAnsi"/>
                <w:color w:val="000000"/>
              </w:rPr>
              <w:t xml:space="preserve"> avec une copie transmise à UNFPA.</w:t>
            </w:r>
          </w:p>
          <w:p w14:paraId="33DE1555" w14:textId="77777777" w:rsidR="00B1484F" w:rsidRPr="008241C1" w:rsidRDefault="00B1484F" w:rsidP="00970D53">
            <w:pPr>
              <w:pStyle w:val="Paragraphedeliste"/>
              <w:spacing w:after="0"/>
              <w:ind w:left="360"/>
              <w:jc w:val="both"/>
              <w:rPr>
                <w:rFonts w:asciiTheme="minorHAnsi" w:eastAsia="Times New Roman" w:hAnsiTheme="minorHAnsi" w:cstheme="minorHAnsi"/>
                <w:sz w:val="24"/>
                <w:szCs w:val="24"/>
              </w:rPr>
            </w:pPr>
          </w:p>
        </w:tc>
      </w:tr>
      <w:tr w:rsidR="008241C1" w:rsidRPr="008241C1" w14:paraId="4FEDEDA5" w14:textId="77777777" w:rsidTr="00627052">
        <w:tblPrEx>
          <w:tblCellMar>
            <w:left w:w="148" w:type="dxa"/>
            <w:right w:w="148" w:type="dxa"/>
          </w:tblCellMar>
        </w:tblPrEx>
        <w:trPr>
          <w:trHeight w:val="1261"/>
        </w:trPr>
        <w:tc>
          <w:tcPr>
            <w:tcW w:w="2835" w:type="dxa"/>
            <w:tcBorders>
              <w:top w:val="single" w:sz="6" w:space="0" w:color="auto"/>
              <w:left w:val="double" w:sz="6" w:space="0" w:color="auto"/>
              <w:bottom w:val="single" w:sz="6" w:space="0" w:color="auto"/>
            </w:tcBorders>
            <w:shd w:val="clear" w:color="auto" w:fill="auto"/>
          </w:tcPr>
          <w:p w14:paraId="1952629F" w14:textId="77777777" w:rsidR="00627052" w:rsidRPr="008241C1" w:rsidRDefault="00627052" w:rsidP="00266A0C">
            <w:pPr>
              <w:tabs>
                <w:tab w:val="left" w:pos="-720"/>
              </w:tabs>
              <w:suppressAutoHyphens/>
              <w:spacing w:before="40" w:after="54" w:line="276" w:lineRule="auto"/>
              <w:jc w:val="both"/>
              <w:rPr>
                <w:rFonts w:asciiTheme="minorHAnsi" w:eastAsia="Times" w:hAnsiTheme="minorHAnsi" w:cstheme="minorHAnsi"/>
                <w:lang w:eastAsia="en-GB"/>
              </w:rPr>
            </w:pPr>
            <w:bookmarkStart w:id="0" w:name="_Hlk115783219"/>
            <w:r w:rsidRPr="008241C1">
              <w:rPr>
                <w:rFonts w:asciiTheme="minorHAnsi" w:eastAsia="Times" w:hAnsiTheme="minorHAnsi" w:cstheme="minorHAnsi"/>
                <w:lang w:eastAsia="en-GB"/>
              </w:rPr>
              <w:t>Degré d’expertise et qualifications requises</w:t>
            </w:r>
          </w:p>
        </w:tc>
        <w:tc>
          <w:tcPr>
            <w:tcW w:w="7938" w:type="dxa"/>
            <w:tcBorders>
              <w:top w:val="single" w:sz="6" w:space="0" w:color="auto"/>
              <w:left w:val="single" w:sz="6" w:space="0" w:color="auto"/>
              <w:bottom w:val="single" w:sz="6" w:space="0" w:color="auto"/>
              <w:right w:val="double" w:sz="6" w:space="0" w:color="auto"/>
            </w:tcBorders>
            <w:shd w:val="clear" w:color="auto" w:fill="auto"/>
          </w:tcPr>
          <w:p w14:paraId="089E36F8" w14:textId="77777777" w:rsidR="00627052" w:rsidRPr="008241C1" w:rsidRDefault="00627052" w:rsidP="00266A0C">
            <w:pPr>
              <w:shd w:val="clear" w:color="auto" w:fill="FFFFFF"/>
              <w:spacing w:line="276" w:lineRule="auto"/>
              <w:jc w:val="both"/>
              <w:rPr>
                <w:rFonts w:asciiTheme="minorHAnsi" w:hAnsiTheme="minorHAnsi" w:cstheme="minorHAnsi"/>
              </w:rPr>
            </w:pPr>
            <w:r w:rsidRPr="008241C1">
              <w:rPr>
                <w:rFonts w:asciiTheme="minorHAnsi" w:eastAsia="Times" w:hAnsiTheme="minorHAnsi" w:cstheme="minorHAnsi"/>
                <w:lang w:eastAsia="en-GB"/>
              </w:rPr>
              <w:t xml:space="preserve">Le </w:t>
            </w:r>
            <w:r w:rsidRPr="008241C1">
              <w:rPr>
                <w:rFonts w:asciiTheme="minorHAnsi" w:hAnsiTheme="minorHAnsi" w:cstheme="minorHAnsi"/>
              </w:rPr>
              <w:t>consultant international</w:t>
            </w:r>
            <w:r w:rsidR="00117317">
              <w:rPr>
                <w:rFonts w:asciiTheme="minorHAnsi" w:hAnsiTheme="minorHAnsi" w:cstheme="minorHAnsi"/>
              </w:rPr>
              <w:t>/national</w:t>
            </w:r>
            <w:r w:rsidRPr="008241C1">
              <w:rPr>
                <w:rFonts w:asciiTheme="minorHAnsi" w:hAnsiTheme="minorHAnsi" w:cstheme="minorHAnsi"/>
              </w:rPr>
              <w:t xml:space="preserve"> aura la qualification ci-dessous :</w:t>
            </w:r>
          </w:p>
          <w:p w14:paraId="38AF8D54" w14:textId="77777777" w:rsidR="00627052" w:rsidRPr="008241C1" w:rsidRDefault="00627052" w:rsidP="00266A0C">
            <w:pPr>
              <w:shd w:val="clear" w:color="auto" w:fill="FFFFFF"/>
              <w:spacing w:line="276" w:lineRule="auto"/>
              <w:jc w:val="both"/>
              <w:rPr>
                <w:rFonts w:asciiTheme="minorHAnsi" w:hAnsiTheme="minorHAnsi" w:cstheme="minorHAnsi"/>
              </w:rPr>
            </w:pPr>
          </w:p>
          <w:p w14:paraId="41CDA310" w14:textId="77777777" w:rsidR="00627052" w:rsidRPr="003D163F" w:rsidRDefault="008E770C" w:rsidP="003D163F">
            <w:pPr>
              <w:numPr>
                <w:ilvl w:val="0"/>
                <w:numId w:val="9"/>
              </w:numPr>
              <w:spacing w:line="276" w:lineRule="auto"/>
              <w:jc w:val="both"/>
              <w:rPr>
                <w:rFonts w:asciiTheme="minorHAnsi" w:hAnsiTheme="minorHAnsi" w:cstheme="minorHAnsi"/>
              </w:rPr>
            </w:pPr>
            <w:r>
              <w:rPr>
                <w:rFonts w:asciiTheme="minorHAnsi" w:hAnsiTheme="minorHAnsi" w:cstheme="minorHAnsi"/>
              </w:rPr>
              <w:t>Être Médecin</w:t>
            </w:r>
            <w:r w:rsidR="00627052" w:rsidRPr="008241C1">
              <w:rPr>
                <w:rFonts w:asciiTheme="minorHAnsi" w:hAnsiTheme="minorHAnsi" w:cstheme="minorHAnsi"/>
              </w:rPr>
              <w:t xml:space="preserve"> </w:t>
            </w:r>
            <w:r>
              <w:rPr>
                <w:rFonts w:asciiTheme="minorHAnsi" w:hAnsiTheme="minorHAnsi" w:cstheme="minorHAnsi"/>
              </w:rPr>
              <w:t>gynécologue-</w:t>
            </w:r>
            <w:r w:rsidR="00117317">
              <w:rPr>
                <w:rFonts w:asciiTheme="minorHAnsi" w:hAnsiTheme="minorHAnsi" w:cstheme="minorHAnsi"/>
              </w:rPr>
              <w:t>Obstétricien,</w:t>
            </w:r>
            <w:r>
              <w:rPr>
                <w:rFonts w:asciiTheme="minorHAnsi" w:hAnsiTheme="minorHAnsi" w:cstheme="minorHAnsi"/>
              </w:rPr>
              <w:t xml:space="preserve"> </w:t>
            </w:r>
            <w:r w:rsidR="00627052" w:rsidRPr="008241C1">
              <w:rPr>
                <w:rFonts w:asciiTheme="minorHAnsi" w:hAnsiTheme="minorHAnsi" w:cstheme="minorHAnsi"/>
              </w:rPr>
              <w:t xml:space="preserve">ayant un master en santé publique ou équivalent </w:t>
            </w:r>
            <w:r w:rsidR="00117317">
              <w:rPr>
                <w:rFonts w:asciiTheme="minorHAnsi" w:hAnsiTheme="minorHAnsi" w:cstheme="minorHAnsi"/>
              </w:rPr>
              <w:t xml:space="preserve">ou médecin de santé publique </w:t>
            </w:r>
          </w:p>
          <w:p w14:paraId="08F56499" w14:textId="77777777" w:rsidR="00627052" w:rsidRPr="008241C1" w:rsidRDefault="00627052" w:rsidP="00266A0C">
            <w:pPr>
              <w:numPr>
                <w:ilvl w:val="0"/>
                <w:numId w:val="9"/>
              </w:numPr>
              <w:spacing w:line="276" w:lineRule="auto"/>
              <w:jc w:val="both"/>
              <w:rPr>
                <w:rFonts w:asciiTheme="minorHAnsi" w:hAnsiTheme="minorHAnsi" w:cstheme="minorHAnsi"/>
              </w:rPr>
            </w:pPr>
            <w:r w:rsidRPr="008241C1">
              <w:rPr>
                <w:rFonts w:asciiTheme="minorHAnsi" w:hAnsiTheme="minorHAnsi" w:cstheme="minorHAnsi"/>
              </w:rPr>
              <w:t xml:space="preserve">Avoir une expérience d’au moins </w:t>
            </w:r>
            <w:r w:rsidR="00A954A2">
              <w:rPr>
                <w:rFonts w:asciiTheme="minorHAnsi" w:hAnsiTheme="minorHAnsi" w:cstheme="minorHAnsi"/>
              </w:rPr>
              <w:t>5</w:t>
            </w:r>
            <w:r w:rsidRPr="008241C1">
              <w:rPr>
                <w:rFonts w:asciiTheme="minorHAnsi" w:hAnsiTheme="minorHAnsi" w:cstheme="minorHAnsi"/>
              </w:rPr>
              <w:t xml:space="preserve"> ans en matière d’élaboration des </w:t>
            </w:r>
            <w:r w:rsidR="00591FB2">
              <w:rPr>
                <w:rFonts w:asciiTheme="minorHAnsi" w:hAnsiTheme="minorHAnsi" w:cstheme="minorHAnsi"/>
              </w:rPr>
              <w:t xml:space="preserve">documents </w:t>
            </w:r>
            <w:r w:rsidR="00591FB2" w:rsidRPr="008241C1">
              <w:rPr>
                <w:rFonts w:asciiTheme="minorHAnsi" w:hAnsiTheme="minorHAnsi" w:cstheme="minorHAnsi"/>
              </w:rPr>
              <w:t>stratégiques</w:t>
            </w:r>
            <w:r w:rsidRPr="008241C1">
              <w:rPr>
                <w:rFonts w:asciiTheme="minorHAnsi" w:hAnsiTheme="minorHAnsi" w:cstheme="minorHAnsi"/>
              </w:rPr>
              <w:t xml:space="preserve"> en santé de la </w:t>
            </w:r>
            <w:r w:rsidR="00591FB2" w:rsidRPr="008241C1">
              <w:rPr>
                <w:rFonts w:asciiTheme="minorHAnsi" w:hAnsiTheme="minorHAnsi" w:cstheme="minorHAnsi"/>
              </w:rPr>
              <w:t>reproduction</w:t>
            </w:r>
            <w:r w:rsidR="00591FB2">
              <w:rPr>
                <w:rFonts w:asciiTheme="minorHAnsi" w:hAnsiTheme="minorHAnsi" w:cstheme="minorHAnsi"/>
              </w:rPr>
              <w:t xml:space="preserve"> ;</w:t>
            </w:r>
            <w:r w:rsidRPr="008241C1">
              <w:rPr>
                <w:rFonts w:asciiTheme="minorHAnsi" w:hAnsiTheme="minorHAnsi" w:cstheme="minorHAnsi"/>
              </w:rPr>
              <w:t xml:space="preserve"> </w:t>
            </w:r>
          </w:p>
          <w:p w14:paraId="4920F582" w14:textId="77777777" w:rsidR="00627052" w:rsidRDefault="00627052" w:rsidP="00266A0C">
            <w:pPr>
              <w:numPr>
                <w:ilvl w:val="0"/>
                <w:numId w:val="9"/>
              </w:numPr>
              <w:spacing w:line="276" w:lineRule="auto"/>
              <w:jc w:val="both"/>
              <w:rPr>
                <w:rFonts w:asciiTheme="minorHAnsi" w:hAnsiTheme="minorHAnsi" w:cstheme="minorHAnsi"/>
              </w:rPr>
            </w:pPr>
            <w:r w:rsidRPr="008241C1">
              <w:rPr>
                <w:rFonts w:asciiTheme="minorHAnsi" w:hAnsiTheme="minorHAnsi" w:cstheme="minorHAnsi"/>
              </w:rPr>
              <w:lastRenderedPageBreak/>
              <w:t xml:space="preserve">Avoir réalisé des travaux </w:t>
            </w:r>
            <w:r w:rsidR="00591FB2" w:rsidRPr="008241C1">
              <w:rPr>
                <w:rFonts w:asciiTheme="minorHAnsi" w:hAnsiTheme="minorHAnsi" w:cstheme="minorHAnsi"/>
              </w:rPr>
              <w:t xml:space="preserve">similaires </w:t>
            </w:r>
            <w:r w:rsidR="00591FB2">
              <w:rPr>
                <w:rFonts w:asciiTheme="minorHAnsi" w:hAnsiTheme="minorHAnsi" w:cstheme="minorHAnsi"/>
              </w:rPr>
              <w:t>au</w:t>
            </w:r>
            <w:r w:rsidR="00117317">
              <w:rPr>
                <w:rFonts w:asciiTheme="minorHAnsi" w:hAnsiTheme="minorHAnsi" w:cstheme="minorHAnsi"/>
              </w:rPr>
              <w:t xml:space="preserve"> Burundi et ou </w:t>
            </w:r>
            <w:r w:rsidRPr="008241C1">
              <w:rPr>
                <w:rFonts w:asciiTheme="minorHAnsi" w:hAnsiTheme="minorHAnsi" w:cstheme="minorHAnsi"/>
              </w:rPr>
              <w:t xml:space="preserve">en Afrique </w:t>
            </w:r>
            <w:proofErr w:type="spellStart"/>
            <w:r w:rsidRPr="008241C1">
              <w:rPr>
                <w:rFonts w:asciiTheme="minorHAnsi" w:hAnsiTheme="minorHAnsi" w:cstheme="minorHAnsi"/>
              </w:rPr>
              <w:t>sub</w:t>
            </w:r>
            <w:proofErr w:type="spellEnd"/>
            <w:r w:rsidR="00117317">
              <w:rPr>
                <w:rFonts w:asciiTheme="minorHAnsi" w:hAnsiTheme="minorHAnsi" w:cstheme="minorHAnsi"/>
              </w:rPr>
              <w:t>-</w:t>
            </w:r>
            <w:r w:rsidRPr="008241C1">
              <w:rPr>
                <w:rFonts w:asciiTheme="minorHAnsi" w:hAnsiTheme="minorHAnsi" w:cstheme="minorHAnsi"/>
              </w:rPr>
              <w:t xml:space="preserve"> saharienne constitue un atout.</w:t>
            </w:r>
          </w:p>
          <w:p w14:paraId="10775159" w14:textId="77777777" w:rsidR="003D163F" w:rsidRPr="003D163F" w:rsidRDefault="003D163F" w:rsidP="003D163F">
            <w:pPr>
              <w:spacing w:line="276" w:lineRule="auto"/>
              <w:ind w:left="360"/>
              <w:jc w:val="both"/>
              <w:rPr>
                <w:rFonts w:asciiTheme="minorHAnsi" w:hAnsiTheme="minorHAnsi" w:cstheme="minorHAnsi"/>
              </w:rPr>
            </w:pPr>
          </w:p>
          <w:p w14:paraId="4C7883FF" w14:textId="77777777" w:rsidR="00627052" w:rsidRPr="003D163F" w:rsidRDefault="00627052" w:rsidP="00266A0C">
            <w:pPr>
              <w:pStyle w:val="Default"/>
              <w:spacing w:line="276" w:lineRule="auto"/>
              <w:jc w:val="both"/>
              <w:rPr>
                <w:rFonts w:asciiTheme="minorHAnsi" w:eastAsia="Times" w:hAnsiTheme="minorHAnsi" w:cstheme="minorHAnsi"/>
                <w:b/>
                <w:color w:val="auto"/>
                <w:lang w:eastAsia="en-GB"/>
              </w:rPr>
            </w:pPr>
            <w:r w:rsidRPr="003D163F">
              <w:rPr>
                <w:rFonts w:asciiTheme="minorHAnsi" w:eastAsia="Times" w:hAnsiTheme="minorHAnsi" w:cstheme="minorHAnsi"/>
                <w:b/>
                <w:color w:val="auto"/>
                <w:lang w:eastAsia="en-GB"/>
              </w:rPr>
              <w:t xml:space="preserve">Compétences : </w:t>
            </w:r>
          </w:p>
          <w:p w14:paraId="466C9E1C" w14:textId="77777777" w:rsidR="00627052" w:rsidRPr="008241C1" w:rsidRDefault="00627052" w:rsidP="00266A0C">
            <w:pPr>
              <w:pStyle w:val="Default"/>
              <w:numPr>
                <w:ilvl w:val="0"/>
                <w:numId w:val="9"/>
              </w:numPr>
              <w:spacing w:after="46" w:line="276" w:lineRule="auto"/>
              <w:jc w:val="both"/>
              <w:rPr>
                <w:rFonts w:asciiTheme="minorHAnsi" w:eastAsia="Times New Roman" w:hAnsiTheme="minorHAnsi" w:cstheme="minorHAnsi"/>
                <w:color w:val="auto"/>
                <w:lang w:eastAsia="en-US"/>
              </w:rPr>
            </w:pPr>
            <w:r w:rsidRPr="008241C1">
              <w:rPr>
                <w:rFonts w:asciiTheme="minorHAnsi" w:eastAsia="Times New Roman" w:hAnsiTheme="minorHAnsi" w:cstheme="minorHAnsi"/>
                <w:color w:val="auto"/>
                <w:lang w:eastAsia="en-US"/>
              </w:rPr>
              <w:t xml:space="preserve">Excellente capacité en matière d’analyse, de synthèse et de rédaction ; </w:t>
            </w:r>
          </w:p>
          <w:p w14:paraId="4FFA7528" w14:textId="77777777" w:rsidR="00627052" w:rsidRPr="008241C1" w:rsidRDefault="008A12A2" w:rsidP="00266A0C">
            <w:pPr>
              <w:pStyle w:val="Default"/>
              <w:numPr>
                <w:ilvl w:val="0"/>
                <w:numId w:val="9"/>
              </w:numPr>
              <w:spacing w:after="46" w:line="276" w:lineRule="auto"/>
              <w:jc w:val="both"/>
              <w:rPr>
                <w:rFonts w:asciiTheme="minorHAnsi" w:eastAsia="Times New Roman" w:hAnsiTheme="minorHAnsi" w:cstheme="minorHAnsi"/>
                <w:color w:val="auto"/>
                <w:lang w:eastAsia="en-US"/>
              </w:rPr>
            </w:pPr>
            <w:r>
              <w:rPr>
                <w:rFonts w:asciiTheme="minorHAnsi" w:eastAsia="Times New Roman" w:hAnsiTheme="minorHAnsi" w:cstheme="minorHAnsi"/>
                <w:color w:val="auto"/>
                <w:lang w:eastAsia="en-US"/>
              </w:rPr>
              <w:t>Avoir le sens de</w:t>
            </w:r>
            <w:r w:rsidR="00627052" w:rsidRPr="008241C1">
              <w:rPr>
                <w:rFonts w:asciiTheme="minorHAnsi" w:eastAsia="Times New Roman" w:hAnsiTheme="minorHAnsi" w:cstheme="minorHAnsi"/>
                <w:color w:val="auto"/>
                <w:lang w:eastAsia="en-US"/>
              </w:rPr>
              <w:t xml:space="preserve"> responsabilités et faire preuve d’une expertise </w:t>
            </w:r>
            <w:r w:rsidR="00591FB2" w:rsidRPr="008241C1">
              <w:rPr>
                <w:rFonts w:asciiTheme="minorHAnsi" w:eastAsia="Times New Roman" w:hAnsiTheme="minorHAnsi" w:cstheme="minorHAnsi"/>
                <w:color w:val="auto"/>
                <w:lang w:eastAsia="en-US"/>
              </w:rPr>
              <w:t>professionnelle</w:t>
            </w:r>
            <w:r w:rsidR="00591FB2">
              <w:rPr>
                <w:rFonts w:asciiTheme="minorHAnsi" w:eastAsia="Times New Roman" w:hAnsiTheme="minorHAnsi" w:cstheme="minorHAnsi"/>
                <w:color w:val="auto"/>
                <w:lang w:eastAsia="en-US"/>
              </w:rPr>
              <w:t xml:space="preserve"> ;</w:t>
            </w:r>
          </w:p>
          <w:p w14:paraId="566D6954" w14:textId="77777777" w:rsidR="00627052" w:rsidRPr="008241C1" w:rsidRDefault="00627052" w:rsidP="00266A0C">
            <w:pPr>
              <w:pStyle w:val="Default"/>
              <w:numPr>
                <w:ilvl w:val="0"/>
                <w:numId w:val="9"/>
              </w:numPr>
              <w:spacing w:after="46" w:line="276" w:lineRule="auto"/>
              <w:jc w:val="both"/>
              <w:rPr>
                <w:rFonts w:asciiTheme="minorHAnsi" w:eastAsia="Times New Roman" w:hAnsiTheme="minorHAnsi" w:cstheme="minorHAnsi"/>
                <w:color w:val="auto"/>
                <w:lang w:eastAsia="en-US"/>
              </w:rPr>
            </w:pPr>
            <w:r w:rsidRPr="008241C1">
              <w:rPr>
                <w:rFonts w:asciiTheme="minorHAnsi" w:eastAsia="Times New Roman" w:hAnsiTheme="minorHAnsi" w:cstheme="minorHAnsi"/>
                <w:color w:val="auto"/>
                <w:lang w:eastAsia="en-US"/>
              </w:rPr>
              <w:t xml:space="preserve">Bonnes connaissances des outils informatiques généraux (Word, Excel, Power </w:t>
            </w:r>
            <w:r w:rsidR="00A954A2" w:rsidRPr="008241C1">
              <w:rPr>
                <w:rFonts w:asciiTheme="minorHAnsi" w:eastAsia="Times New Roman" w:hAnsiTheme="minorHAnsi" w:cstheme="minorHAnsi"/>
                <w:color w:val="auto"/>
                <w:lang w:eastAsia="en-US"/>
              </w:rPr>
              <w:t>Point</w:t>
            </w:r>
            <w:r w:rsidR="00A954A2">
              <w:rPr>
                <w:rFonts w:asciiTheme="minorHAnsi" w:eastAsia="Times New Roman" w:hAnsiTheme="minorHAnsi" w:cstheme="minorHAnsi"/>
                <w:color w:val="auto"/>
                <w:lang w:eastAsia="en-US"/>
              </w:rPr>
              <w:t>,</w:t>
            </w:r>
            <w:r w:rsidR="00117317">
              <w:rPr>
                <w:rFonts w:asciiTheme="minorHAnsi" w:eastAsia="Times New Roman" w:hAnsiTheme="minorHAnsi" w:cstheme="minorHAnsi"/>
                <w:color w:val="auto"/>
                <w:lang w:eastAsia="en-US"/>
              </w:rPr>
              <w:t xml:space="preserve"> S</w:t>
            </w:r>
            <w:r w:rsidR="003D163F">
              <w:rPr>
                <w:rFonts w:asciiTheme="minorHAnsi" w:eastAsia="Times New Roman" w:hAnsiTheme="minorHAnsi" w:cstheme="minorHAnsi"/>
                <w:color w:val="auto"/>
                <w:lang w:eastAsia="en-US"/>
              </w:rPr>
              <w:t>PSS</w:t>
            </w:r>
            <w:r w:rsidRPr="008241C1">
              <w:rPr>
                <w:rFonts w:asciiTheme="minorHAnsi" w:eastAsia="Times New Roman" w:hAnsiTheme="minorHAnsi" w:cstheme="minorHAnsi"/>
                <w:color w:val="auto"/>
                <w:lang w:eastAsia="en-US"/>
              </w:rPr>
              <w:t xml:space="preserve">) ; </w:t>
            </w:r>
          </w:p>
          <w:p w14:paraId="3E6EA7A3" w14:textId="77777777" w:rsidR="00627052" w:rsidRPr="008241C1" w:rsidRDefault="00627052" w:rsidP="00266A0C">
            <w:pPr>
              <w:pStyle w:val="Default"/>
              <w:numPr>
                <w:ilvl w:val="0"/>
                <w:numId w:val="9"/>
              </w:numPr>
              <w:spacing w:after="46" w:line="276" w:lineRule="auto"/>
              <w:jc w:val="both"/>
              <w:rPr>
                <w:rFonts w:asciiTheme="minorHAnsi" w:eastAsia="Times New Roman" w:hAnsiTheme="minorHAnsi" w:cstheme="minorHAnsi"/>
                <w:color w:val="auto"/>
                <w:lang w:eastAsia="en-US"/>
              </w:rPr>
            </w:pPr>
            <w:r w:rsidRPr="008241C1">
              <w:rPr>
                <w:rFonts w:asciiTheme="minorHAnsi" w:eastAsia="Times New Roman" w:hAnsiTheme="minorHAnsi" w:cstheme="minorHAnsi"/>
                <w:color w:val="auto"/>
                <w:lang w:eastAsia="en-US"/>
              </w:rPr>
              <w:t xml:space="preserve">Avoir la capacité de communiquer de façon percutante ; </w:t>
            </w:r>
          </w:p>
          <w:p w14:paraId="3621F62D" w14:textId="77777777" w:rsidR="00627052" w:rsidRPr="008241C1" w:rsidRDefault="00627052" w:rsidP="00266A0C">
            <w:pPr>
              <w:pStyle w:val="Default"/>
              <w:numPr>
                <w:ilvl w:val="0"/>
                <w:numId w:val="9"/>
              </w:numPr>
              <w:spacing w:line="276" w:lineRule="auto"/>
              <w:jc w:val="both"/>
              <w:rPr>
                <w:rFonts w:asciiTheme="minorHAnsi" w:eastAsia="Times New Roman" w:hAnsiTheme="minorHAnsi" w:cstheme="minorHAnsi"/>
                <w:color w:val="auto"/>
                <w:lang w:eastAsia="en-US"/>
              </w:rPr>
            </w:pPr>
            <w:r w:rsidRPr="008241C1">
              <w:rPr>
                <w:rFonts w:asciiTheme="minorHAnsi" w:eastAsia="Times New Roman" w:hAnsiTheme="minorHAnsi" w:cstheme="minorHAnsi"/>
                <w:color w:val="auto"/>
                <w:lang w:eastAsia="en-US"/>
              </w:rPr>
              <w:t xml:space="preserve">Maîtrise parfaite de la langue française (orale et écrite).  </w:t>
            </w:r>
          </w:p>
        </w:tc>
      </w:tr>
      <w:bookmarkEnd w:id="0"/>
      <w:tr w:rsidR="008241C1" w:rsidRPr="008241C1" w14:paraId="7FBCD37E" w14:textId="77777777" w:rsidTr="003C0350">
        <w:tblPrEx>
          <w:tblCellMar>
            <w:left w:w="148" w:type="dxa"/>
            <w:right w:w="148" w:type="dxa"/>
          </w:tblCellMar>
        </w:tblPrEx>
        <w:tc>
          <w:tcPr>
            <w:tcW w:w="10773" w:type="dxa"/>
            <w:gridSpan w:val="2"/>
            <w:tcBorders>
              <w:top w:val="single" w:sz="4" w:space="0" w:color="auto"/>
              <w:left w:val="double" w:sz="6" w:space="0" w:color="auto"/>
              <w:bottom w:val="double" w:sz="6" w:space="0" w:color="auto"/>
              <w:right w:val="double" w:sz="6" w:space="0" w:color="auto"/>
            </w:tcBorders>
            <w:shd w:val="clear" w:color="auto" w:fill="auto"/>
          </w:tcPr>
          <w:p w14:paraId="75C2AFD9" w14:textId="77777777" w:rsidR="00627052" w:rsidRPr="008241C1" w:rsidRDefault="00627052" w:rsidP="00266A0C">
            <w:pPr>
              <w:tabs>
                <w:tab w:val="left" w:pos="-720"/>
              </w:tabs>
              <w:suppressAutoHyphens/>
              <w:spacing w:line="276" w:lineRule="auto"/>
              <w:jc w:val="both"/>
              <w:rPr>
                <w:rFonts w:asciiTheme="minorHAnsi" w:hAnsiTheme="minorHAnsi" w:cstheme="minorHAnsi"/>
              </w:rPr>
            </w:pPr>
            <w:r w:rsidRPr="008241C1">
              <w:rPr>
                <w:rFonts w:asciiTheme="minorHAnsi" w:hAnsiTheme="minorHAnsi" w:cstheme="minorHAnsi"/>
              </w:rPr>
              <w:lastRenderedPageBreak/>
              <w:t>Signature du requérant responsable du Bureau :</w:t>
            </w:r>
          </w:p>
          <w:p w14:paraId="48E12107" w14:textId="77777777" w:rsidR="00627052" w:rsidRPr="008241C1" w:rsidRDefault="00627052" w:rsidP="00266A0C">
            <w:pPr>
              <w:tabs>
                <w:tab w:val="left" w:pos="-720"/>
              </w:tabs>
              <w:suppressAutoHyphens/>
              <w:spacing w:line="276" w:lineRule="auto"/>
              <w:jc w:val="both"/>
              <w:rPr>
                <w:rFonts w:asciiTheme="minorHAnsi" w:hAnsiTheme="minorHAnsi" w:cstheme="minorHAnsi"/>
              </w:rPr>
            </w:pPr>
            <w:r w:rsidRPr="008241C1">
              <w:rPr>
                <w:rFonts w:asciiTheme="minorHAnsi" w:hAnsiTheme="minorHAnsi" w:cstheme="minorHAnsi"/>
              </w:rPr>
              <w:t>Date :</w:t>
            </w:r>
          </w:p>
        </w:tc>
      </w:tr>
    </w:tbl>
    <w:p w14:paraId="0A0A93B2" w14:textId="77777777" w:rsidR="00640FDF" w:rsidRPr="00A3485D" w:rsidRDefault="00640FDF" w:rsidP="009A639D">
      <w:pPr>
        <w:spacing w:after="200" w:line="360" w:lineRule="auto"/>
        <w:jc w:val="both"/>
      </w:pPr>
    </w:p>
    <w:p w14:paraId="52D0BE26" w14:textId="77777777" w:rsidR="00B0334D" w:rsidRDefault="00B0334D">
      <w:pPr>
        <w:spacing w:after="200" w:line="276" w:lineRule="auto"/>
      </w:pPr>
    </w:p>
    <w:p w14:paraId="2D1B9145" w14:textId="77777777" w:rsidR="00B0334D" w:rsidRDefault="00B0334D">
      <w:pPr>
        <w:spacing w:after="200" w:line="276" w:lineRule="auto"/>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035"/>
        <w:gridCol w:w="1755"/>
        <w:gridCol w:w="1270"/>
        <w:gridCol w:w="1271"/>
        <w:gridCol w:w="1271"/>
      </w:tblGrid>
      <w:tr w:rsidR="00B0334D" w:rsidRPr="00E2119F" w14:paraId="78016ACE" w14:textId="77777777" w:rsidTr="000E0DC5">
        <w:trPr>
          <w:trHeight w:val="336"/>
        </w:trPr>
        <w:tc>
          <w:tcPr>
            <w:tcW w:w="460" w:type="dxa"/>
            <w:shd w:val="clear" w:color="auto" w:fill="auto"/>
            <w:noWrap/>
            <w:vAlign w:val="bottom"/>
            <w:hideMark/>
          </w:tcPr>
          <w:p w14:paraId="15A0D943" w14:textId="77777777" w:rsidR="00B0334D" w:rsidRPr="00E2119F" w:rsidRDefault="00B0334D" w:rsidP="000E0DC5">
            <w:pPr>
              <w:rPr>
                <w:rFonts w:cstheme="minorHAnsi"/>
                <w:color w:val="000000"/>
                <w:lang w:eastAsia="fr-FR"/>
              </w:rPr>
            </w:pPr>
            <w:r w:rsidRPr="00E2119F">
              <w:rPr>
                <w:rFonts w:cstheme="minorHAnsi"/>
                <w:color w:val="000000"/>
                <w:lang w:eastAsia="fr-FR"/>
              </w:rPr>
              <w:t> </w:t>
            </w:r>
          </w:p>
        </w:tc>
        <w:tc>
          <w:tcPr>
            <w:tcW w:w="8602" w:type="dxa"/>
            <w:gridSpan w:val="5"/>
            <w:shd w:val="clear" w:color="auto" w:fill="auto"/>
            <w:noWrap/>
            <w:vAlign w:val="bottom"/>
            <w:hideMark/>
          </w:tcPr>
          <w:p w14:paraId="56BBA6F8" w14:textId="77777777" w:rsidR="00B0334D" w:rsidRPr="00E2119F" w:rsidRDefault="00B0334D" w:rsidP="000E0DC5">
            <w:pPr>
              <w:jc w:val="center"/>
              <w:rPr>
                <w:rFonts w:cstheme="minorHAnsi"/>
                <w:b/>
                <w:bCs/>
                <w:color w:val="000000"/>
                <w:lang w:eastAsia="fr-FR"/>
              </w:rPr>
            </w:pPr>
            <w:r w:rsidRPr="00E2119F">
              <w:rPr>
                <w:rFonts w:cstheme="minorHAnsi"/>
                <w:b/>
                <w:bCs/>
                <w:color w:val="000000"/>
                <w:lang w:eastAsia="fr-FR"/>
              </w:rPr>
              <w:t xml:space="preserve">Mois </w:t>
            </w:r>
            <w:r>
              <w:rPr>
                <w:rFonts w:cstheme="minorHAnsi"/>
                <w:b/>
                <w:bCs/>
                <w:color w:val="000000"/>
                <w:lang w:eastAsia="fr-FR"/>
              </w:rPr>
              <w:t xml:space="preserve"> d’octobre </w:t>
            </w:r>
          </w:p>
        </w:tc>
      </w:tr>
      <w:tr w:rsidR="00B0334D" w:rsidRPr="00E2119F" w14:paraId="41F56F4B" w14:textId="77777777" w:rsidTr="000E0DC5">
        <w:trPr>
          <w:trHeight w:val="443"/>
        </w:trPr>
        <w:tc>
          <w:tcPr>
            <w:tcW w:w="460" w:type="dxa"/>
            <w:shd w:val="clear" w:color="auto" w:fill="auto"/>
            <w:noWrap/>
            <w:vAlign w:val="bottom"/>
            <w:hideMark/>
          </w:tcPr>
          <w:p w14:paraId="696B648F" w14:textId="77777777" w:rsidR="00B0334D" w:rsidRPr="00E2119F" w:rsidRDefault="00B0334D" w:rsidP="000E0DC5">
            <w:pPr>
              <w:rPr>
                <w:rFonts w:cstheme="minorHAnsi"/>
                <w:b/>
                <w:bCs/>
                <w:color w:val="000000"/>
                <w:lang w:eastAsia="fr-FR"/>
              </w:rPr>
            </w:pPr>
            <w:r w:rsidRPr="00E2119F">
              <w:rPr>
                <w:rFonts w:cstheme="minorHAnsi"/>
                <w:b/>
                <w:bCs/>
                <w:color w:val="000000"/>
                <w:lang w:eastAsia="fr-FR"/>
              </w:rPr>
              <w:t>N°</w:t>
            </w:r>
          </w:p>
        </w:tc>
        <w:tc>
          <w:tcPr>
            <w:tcW w:w="3035" w:type="dxa"/>
            <w:shd w:val="clear" w:color="auto" w:fill="auto"/>
            <w:noWrap/>
            <w:vAlign w:val="bottom"/>
            <w:hideMark/>
          </w:tcPr>
          <w:p w14:paraId="57FDA860" w14:textId="77777777" w:rsidR="00B0334D" w:rsidRPr="00E2119F" w:rsidRDefault="00B0334D" w:rsidP="000E0DC5">
            <w:pPr>
              <w:rPr>
                <w:rFonts w:cstheme="minorHAnsi"/>
                <w:b/>
                <w:bCs/>
                <w:color w:val="000000"/>
                <w:lang w:eastAsia="fr-FR"/>
              </w:rPr>
            </w:pPr>
            <w:r w:rsidRPr="00E2119F">
              <w:rPr>
                <w:rFonts w:cstheme="minorHAnsi"/>
                <w:b/>
                <w:bCs/>
                <w:color w:val="000000"/>
                <w:lang w:eastAsia="fr-FR"/>
              </w:rPr>
              <w:t xml:space="preserve">Activités </w:t>
            </w:r>
          </w:p>
        </w:tc>
        <w:tc>
          <w:tcPr>
            <w:tcW w:w="1755" w:type="dxa"/>
            <w:shd w:val="clear" w:color="auto" w:fill="auto"/>
            <w:noWrap/>
            <w:vAlign w:val="bottom"/>
            <w:hideMark/>
          </w:tcPr>
          <w:p w14:paraId="39315054" w14:textId="77777777" w:rsidR="00B0334D" w:rsidRPr="00E2119F" w:rsidRDefault="00B0334D" w:rsidP="000E0DC5">
            <w:pPr>
              <w:rPr>
                <w:rFonts w:cstheme="minorHAnsi"/>
                <w:b/>
                <w:bCs/>
                <w:color w:val="000000"/>
                <w:lang w:eastAsia="fr-FR"/>
              </w:rPr>
            </w:pPr>
            <w:r>
              <w:rPr>
                <w:rFonts w:cstheme="minorHAnsi"/>
                <w:b/>
                <w:bCs/>
                <w:color w:val="000000"/>
                <w:lang w:eastAsia="fr-FR"/>
              </w:rPr>
              <w:t>S1</w:t>
            </w:r>
          </w:p>
        </w:tc>
        <w:tc>
          <w:tcPr>
            <w:tcW w:w="1270" w:type="dxa"/>
          </w:tcPr>
          <w:p w14:paraId="33E37E1C" w14:textId="77777777" w:rsidR="00B0334D" w:rsidRDefault="00B0334D" w:rsidP="000E0DC5">
            <w:pPr>
              <w:rPr>
                <w:rFonts w:cstheme="minorHAnsi"/>
                <w:b/>
                <w:bCs/>
                <w:color w:val="000000"/>
                <w:lang w:eastAsia="fr-FR"/>
              </w:rPr>
            </w:pPr>
            <w:r>
              <w:rPr>
                <w:rFonts w:cstheme="minorHAnsi"/>
                <w:b/>
                <w:bCs/>
                <w:color w:val="000000"/>
                <w:lang w:eastAsia="fr-FR"/>
              </w:rPr>
              <w:t>S2</w:t>
            </w:r>
          </w:p>
        </w:tc>
        <w:tc>
          <w:tcPr>
            <w:tcW w:w="1271" w:type="dxa"/>
          </w:tcPr>
          <w:p w14:paraId="3969B89C" w14:textId="77777777" w:rsidR="00B0334D" w:rsidRDefault="00B0334D" w:rsidP="000E0DC5">
            <w:pPr>
              <w:rPr>
                <w:rFonts w:cstheme="minorHAnsi"/>
                <w:b/>
                <w:bCs/>
                <w:color w:val="000000"/>
                <w:lang w:eastAsia="fr-FR"/>
              </w:rPr>
            </w:pPr>
            <w:r>
              <w:rPr>
                <w:rFonts w:cstheme="minorHAnsi"/>
                <w:b/>
                <w:bCs/>
                <w:color w:val="000000"/>
                <w:lang w:eastAsia="fr-FR"/>
              </w:rPr>
              <w:t>S3</w:t>
            </w:r>
          </w:p>
        </w:tc>
        <w:tc>
          <w:tcPr>
            <w:tcW w:w="1271" w:type="dxa"/>
          </w:tcPr>
          <w:p w14:paraId="27DC1A9B" w14:textId="77777777" w:rsidR="00B0334D" w:rsidRDefault="00B0334D" w:rsidP="000E0DC5">
            <w:pPr>
              <w:rPr>
                <w:rFonts w:cstheme="minorHAnsi"/>
                <w:b/>
                <w:bCs/>
                <w:color w:val="000000"/>
                <w:lang w:eastAsia="fr-FR"/>
              </w:rPr>
            </w:pPr>
            <w:r>
              <w:rPr>
                <w:rFonts w:cstheme="minorHAnsi"/>
                <w:b/>
                <w:bCs/>
                <w:color w:val="000000"/>
                <w:lang w:eastAsia="fr-FR"/>
              </w:rPr>
              <w:t>S4</w:t>
            </w:r>
          </w:p>
        </w:tc>
      </w:tr>
      <w:tr w:rsidR="00B0334D" w:rsidRPr="00E2119F" w14:paraId="42CCE2FA" w14:textId="77777777" w:rsidTr="000E0DC5">
        <w:trPr>
          <w:trHeight w:val="552"/>
        </w:trPr>
        <w:tc>
          <w:tcPr>
            <w:tcW w:w="460" w:type="dxa"/>
            <w:shd w:val="clear" w:color="auto" w:fill="auto"/>
            <w:noWrap/>
          </w:tcPr>
          <w:p w14:paraId="7FBB78EB" w14:textId="77777777" w:rsidR="00B0334D" w:rsidRPr="00A14C5A" w:rsidRDefault="00B0334D" w:rsidP="000E0DC5">
            <w:pPr>
              <w:rPr>
                <w:rFonts w:cstheme="minorHAnsi"/>
                <w:color w:val="000000"/>
                <w:lang w:eastAsia="fr-FR"/>
              </w:rPr>
            </w:pPr>
            <w:r w:rsidRPr="00A14C5A">
              <w:rPr>
                <w:rFonts w:cstheme="minorHAnsi"/>
                <w:color w:val="000000"/>
                <w:lang w:eastAsia="fr-FR"/>
              </w:rPr>
              <w:t>3</w:t>
            </w:r>
          </w:p>
        </w:tc>
        <w:tc>
          <w:tcPr>
            <w:tcW w:w="3035" w:type="dxa"/>
            <w:shd w:val="clear" w:color="auto" w:fill="auto"/>
            <w:vAlign w:val="bottom"/>
            <w:hideMark/>
          </w:tcPr>
          <w:p w14:paraId="561AC60E" w14:textId="77777777" w:rsidR="00B0334D" w:rsidRPr="00E2119F" w:rsidRDefault="00B0334D" w:rsidP="000E0DC5">
            <w:pPr>
              <w:rPr>
                <w:rFonts w:cstheme="minorHAnsi"/>
                <w:color w:val="000000"/>
                <w:lang w:eastAsia="fr-FR"/>
              </w:rPr>
            </w:pPr>
            <w:r w:rsidRPr="00A14C5A">
              <w:rPr>
                <w:rFonts w:cstheme="minorHAnsi"/>
                <w:color w:val="000000"/>
                <w:lang w:eastAsia="fr-FR"/>
              </w:rPr>
              <w:t>Elaboration du protocole d'enquête</w:t>
            </w:r>
          </w:p>
        </w:tc>
        <w:tc>
          <w:tcPr>
            <w:tcW w:w="1755" w:type="dxa"/>
            <w:shd w:val="clear" w:color="auto" w:fill="FFFF00"/>
            <w:noWrap/>
            <w:vAlign w:val="bottom"/>
            <w:hideMark/>
          </w:tcPr>
          <w:p w14:paraId="5C2CFC7F" w14:textId="77777777" w:rsidR="00B0334D" w:rsidRPr="00A14C5A" w:rsidRDefault="00B0334D" w:rsidP="000E0DC5">
            <w:pPr>
              <w:rPr>
                <w:rFonts w:cstheme="minorHAnsi"/>
                <w:b/>
                <w:bCs/>
                <w:color w:val="000000"/>
                <w:lang w:eastAsia="fr-FR"/>
              </w:rPr>
            </w:pPr>
            <w:r w:rsidRPr="00A14C5A">
              <w:rPr>
                <w:rFonts w:cstheme="minorHAnsi"/>
                <w:b/>
                <w:bCs/>
                <w:color w:val="000000"/>
                <w:lang w:eastAsia="fr-FR"/>
              </w:rPr>
              <w:t> </w:t>
            </w:r>
          </w:p>
        </w:tc>
        <w:tc>
          <w:tcPr>
            <w:tcW w:w="1270" w:type="dxa"/>
            <w:shd w:val="clear" w:color="auto" w:fill="FFFFFF" w:themeFill="background1"/>
          </w:tcPr>
          <w:p w14:paraId="44DF862D" w14:textId="77777777" w:rsidR="00B0334D" w:rsidRPr="00A14C5A" w:rsidRDefault="00B0334D" w:rsidP="000E0DC5">
            <w:pPr>
              <w:rPr>
                <w:rFonts w:cstheme="minorHAnsi"/>
                <w:b/>
                <w:bCs/>
                <w:color w:val="000000"/>
                <w:lang w:eastAsia="fr-FR"/>
              </w:rPr>
            </w:pPr>
          </w:p>
        </w:tc>
        <w:tc>
          <w:tcPr>
            <w:tcW w:w="1271" w:type="dxa"/>
            <w:shd w:val="clear" w:color="auto" w:fill="FFFFFF" w:themeFill="background1"/>
          </w:tcPr>
          <w:p w14:paraId="4E2B57B8" w14:textId="77777777" w:rsidR="00B0334D" w:rsidRPr="00A14C5A" w:rsidRDefault="00B0334D" w:rsidP="000E0DC5">
            <w:pPr>
              <w:rPr>
                <w:rFonts w:cstheme="minorHAnsi"/>
                <w:b/>
                <w:bCs/>
                <w:color w:val="000000"/>
                <w:lang w:eastAsia="fr-FR"/>
              </w:rPr>
            </w:pPr>
          </w:p>
        </w:tc>
        <w:tc>
          <w:tcPr>
            <w:tcW w:w="1271" w:type="dxa"/>
            <w:shd w:val="clear" w:color="auto" w:fill="FFFFFF" w:themeFill="background1"/>
          </w:tcPr>
          <w:p w14:paraId="6FD112D8" w14:textId="77777777" w:rsidR="00B0334D" w:rsidRPr="00A14C5A" w:rsidRDefault="00B0334D" w:rsidP="000E0DC5">
            <w:pPr>
              <w:rPr>
                <w:rFonts w:cstheme="minorHAnsi"/>
                <w:b/>
                <w:bCs/>
                <w:color w:val="FFFFFF" w:themeColor="background1"/>
                <w:lang w:eastAsia="fr-FR"/>
              </w:rPr>
            </w:pPr>
          </w:p>
        </w:tc>
      </w:tr>
      <w:tr w:rsidR="00B0334D" w:rsidRPr="00E2119F" w14:paraId="24F9C184" w14:textId="77777777" w:rsidTr="000E0DC5">
        <w:trPr>
          <w:trHeight w:val="552"/>
        </w:trPr>
        <w:tc>
          <w:tcPr>
            <w:tcW w:w="460" w:type="dxa"/>
            <w:shd w:val="clear" w:color="auto" w:fill="auto"/>
            <w:noWrap/>
          </w:tcPr>
          <w:p w14:paraId="492C6A0F" w14:textId="77777777" w:rsidR="00B0334D" w:rsidRPr="00E2119F" w:rsidRDefault="00B0334D" w:rsidP="000E0DC5">
            <w:pPr>
              <w:rPr>
                <w:rFonts w:cstheme="minorHAnsi"/>
                <w:color w:val="000000"/>
                <w:lang w:eastAsia="fr-FR"/>
              </w:rPr>
            </w:pPr>
            <w:r w:rsidRPr="00E2119F">
              <w:rPr>
                <w:rFonts w:cstheme="minorHAnsi"/>
                <w:color w:val="000000"/>
                <w:lang w:eastAsia="fr-FR"/>
              </w:rPr>
              <w:t>4</w:t>
            </w:r>
          </w:p>
        </w:tc>
        <w:tc>
          <w:tcPr>
            <w:tcW w:w="3035" w:type="dxa"/>
            <w:shd w:val="clear" w:color="auto" w:fill="auto"/>
            <w:vAlign w:val="bottom"/>
          </w:tcPr>
          <w:p w14:paraId="47EDA81A" w14:textId="77777777" w:rsidR="00B0334D" w:rsidRPr="00E2119F" w:rsidRDefault="00B0334D" w:rsidP="000E0DC5">
            <w:pPr>
              <w:rPr>
                <w:rFonts w:cstheme="minorHAnsi"/>
                <w:color w:val="000000"/>
                <w:lang w:eastAsia="fr-FR"/>
              </w:rPr>
            </w:pPr>
            <w:r w:rsidRPr="00E2119F">
              <w:rPr>
                <w:rFonts w:cstheme="minorHAnsi"/>
                <w:color w:val="000000"/>
                <w:lang w:eastAsia="fr-FR"/>
              </w:rPr>
              <w:t xml:space="preserve">Atelier de finalisation du protocole et des outils de collecte </w:t>
            </w:r>
          </w:p>
        </w:tc>
        <w:tc>
          <w:tcPr>
            <w:tcW w:w="1755" w:type="dxa"/>
            <w:shd w:val="clear" w:color="auto" w:fill="FFFF00"/>
            <w:noWrap/>
            <w:vAlign w:val="bottom"/>
          </w:tcPr>
          <w:p w14:paraId="0356C172" w14:textId="77777777" w:rsidR="00B0334D" w:rsidRPr="00E2119F" w:rsidRDefault="00B0334D" w:rsidP="000E0DC5">
            <w:pPr>
              <w:rPr>
                <w:rFonts w:cstheme="minorHAnsi"/>
                <w:b/>
                <w:bCs/>
                <w:color w:val="000000"/>
                <w:lang w:eastAsia="fr-FR"/>
              </w:rPr>
            </w:pPr>
          </w:p>
        </w:tc>
        <w:tc>
          <w:tcPr>
            <w:tcW w:w="1270" w:type="dxa"/>
            <w:shd w:val="clear" w:color="auto" w:fill="FFFFFF" w:themeFill="background1"/>
          </w:tcPr>
          <w:p w14:paraId="3247D748" w14:textId="77777777" w:rsidR="00B0334D" w:rsidRPr="00E2119F" w:rsidRDefault="00B0334D" w:rsidP="000E0DC5">
            <w:pPr>
              <w:rPr>
                <w:rFonts w:cstheme="minorHAnsi"/>
                <w:b/>
                <w:bCs/>
                <w:color w:val="000000"/>
                <w:lang w:eastAsia="fr-FR"/>
              </w:rPr>
            </w:pPr>
          </w:p>
        </w:tc>
        <w:tc>
          <w:tcPr>
            <w:tcW w:w="1271" w:type="dxa"/>
            <w:shd w:val="clear" w:color="auto" w:fill="FFFFFF" w:themeFill="background1"/>
          </w:tcPr>
          <w:p w14:paraId="091AA6B9" w14:textId="77777777" w:rsidR="00B0334D" w:rsidRPr="00E2119F" w:rsidRDefault="00B0334D" w:rsidP="000E0DC5">
            <w:pPr>
              <w:rPr>
                <w:rFonts w:cstheme="minorHAnsi"/>
                <w:b/>
                <w:bCs/>
                <w:color w:val="000000"/>
                <w:lang w:eastAsia="fr-FR"/>
              </w:rPr>
            </w:pPr>
          </w:p>
        </w:tc>
        <w:tc>
          <w:tcPr>
            <w:tcW w:w="1271" w:type="dxa"/>
            <w:shd w:val="clear" w:color="auto" w:fill="FFFFFF" w:themeFill="background1"/>
          </w:tcPr>
          <w:p w14:paraId="5E7AB835" w14:textId="77777777" w:rsidR="00B0334D" w:rsidRPr="00E2119F" w:rsidRDefault="00B0334D" w:rsidP="000E0DC5">
            <w:pPr>
              <w:rPr>
                <w:rFonts w:cstheme="minorHAnsi"/>
                <w:b/>
                <w:bCs/>
                <w:color w:val="000000"/>
                <w:lang w:eastAsia="fr-FR"/>
              </w:rPr>
            </w:pPr>
          </w:p>
        </w:tc>
      </w:tr>
      <w:tr w:rsidR="00B0334D" w:rsidRPr="00E2119F" w14:paraId="5A9B3527" w14:textId="77777777" w:rsidTr="000E0DC5">
        <w:trPr>
          <w:trHeight w:val="576"/>
        </w:trPr>
        <w:tc>
          <w:tcPr>
            <w:tcW w:w="460" w:type="dxa"/>
            <w:shd w:val="clear" w:color="auto" w:fill="auto"/>
            <w:noWrap/>
          </w:tcPr>
          <w:p w14:paraId="1C81ACE3" w14:textId="77777777" w:rsidR="00B0334D" w:rsidRPr="00E2119F" w:rsidRDefault="00B0334D" w:rsidP="000E0DC5">
            <w:pPr>
              <w:rPr>
                <w:rFonts w:cstheme="minorHAnsi"/>
                <w:color w:val="000000"/>
                <w:lang w:eastAsia="fr-FR"/>
              </w:rPr>
            </w:pPr>
            <w:r w:rsidRPr="00E2119F">
              <w:rPr>
                <w:rFonts w:cstheme="minorHAnsi"/>
                <w:color w:val="000000"/>
                <w:lang w:eastAsia="fr-FR"/>
              </w:rPr>
              <w:t>5</w:t>
            </w:r>
          </w:p>
        </w:tc>
        <w:tc>
          <w:tcPr>
            <w:tcW w:w="3035" w:type="dxa"/>
            <w:shd w:val="clear" w:color="auto" w:fill="auto"/>
            <w:vAlign w:val="bottom"/>
            <w:hideMark/>
          </w:tcPr>
          <w:p w14:paraId="35D24254" w14:textId="77777777" w:rsidR="00B0334D" w:rsidRPr="00E2119F" w:rsidRDefault="00B0334D" w:rsidP="000E0DC5">
            <w:pPr>
              <w:rPr>
                <w:rFonts w:cstheme="minorHAnsi"/>
                <w:color w:val="000000"/>
                <w:lang w:eastAsia="fr-FR"/>
              </w:rPr>
            </w:pPr>
            <w:r w:rsidRPr="00E2119F">
              <w:rPr>
                <w:rFonts w:cstheme="minorHAnsi"/>
                <w:color w:val="000000"/>
                <w:lang w:eastAsia="fr-FR"/>
              </w:rPr>
              <w:t>Réunion de validation du protocole de l'évaluation</w:t>
            </w:r>
          </w:p>
        </w:tc>
        <w:tc>
          <w:tcPr>
            <w:tcW w:w="1755" w:type="dxa"/>
            <w:shd w:val="clear" w:color="auto" w:fill="FFFF00"/>
            <w:noWrap/>
            <w:vAlign w:val="bottom"/>
            <w:hideMark/>
          </w:tcPr>
          <w:p w14:paraId="5E475D64" w14:textId="77777777" w:rsidR="00B0334D" w:rsidRPr="00E2119F" w:rsidRDefault="00B0334D" w:rsidP="000E0DC5">
            <w:pPr>
              <w:rPr>
                <w:rFonts w:cstheme="minorHAnsi"/>
                <w:color w:val="000000"/>
                <w:lang w:eastAsia="fr-FR"/>
              </w:rPr>
            </w:pPr>
            <w:r w:rsidRPr="00E2119F">
              <w:rPr>
                <w:rFonts w:cstheme="minorHAnsi"/>
                <w:color w:val="000000"/>
                <w:lang w:eastAsia="fr-FR"/>
              </w:rPr>
              <w:t> </w:t>
            </w:r>
          </w:p>
        </w:tc>
        <w:tc>
          <w:tcPr>
            <w:tcW w:w="1270" w:type="dxa"/>
          </w:tcPr>
          <w:p w14:paraId="72D6AD1A" w14:textId="77777777" w:rsidR="00B0334D" w:rsidRPr="00E2119F" w:rsidRDefault="00B0334D" w:rsidP="000E0DC5">
            <w:pPr>
              <w:rPr>
                <w:rFonts w:cstheme="minorHAnsi"/>
                <w:color w:val="000000"/>
                <w:lang w:eastAsia="fr-FR"/>
              </w:rPr>
            </w:pPr>
          </w:p>
        </w:tc>
        <w:tc>
          <w:tcPr>
            <w:tcW w:w="1271" w:type="dxa"/>
          </w:tcPr>
          <w:p w14:paraId="30BBAE3D" w14:textId="77777777" w:rsidR="00B0334D" w:rsidRPr="00E2119F" w:rsidRDefault="00B0334D" w:rsidP="000E0DC5">
            <w:pPr>
              <w:rPr>
                <w:rFonts w:cstheme="minorHAnsi"/>
                <w:color w:val="000000"/>
                <w:lang w:eastAsia="fr-FR"/>
              </w:rPr>
            </w:pPr>
          </w:p>
        </w:tc>
        <w:tc>
          <w:tcPr>
            <w:tcW w:w="1271" w:type="dxa"/>
          </w:tcPr>
          <w:p w14:paraId="2B18344D" w14:textId="77777777" w:rsidR="00B0334D" w:rsidRPr="00E2119F" w:rsidRDefault="00B0334D" w:rsidP="000E0DC5">
            <w:pPr>
              <w:rPr>
                <w:rFonts w:cstheme="minorHAnsi"/>
                <w:color w:val="000000"/>
                <w:lang w:eastAsia="fr-FR"/>
              </w:rPr>
            </w:pPr>
          </w:p>
        </w:tc>
      </w:tr>
      <w:tr w:rsidR="00B0334D" w:rsidRPr="00E2119F" w14:paraId="6CE376D2" w14:textId="77777777" w:rsidTr="000E0DC5">
        <w:trPr>
          <w:trHeight w:val="528"/>
        </w:trPr>
        <w:tc>
          <w:tcPr>
            <w:tcW w:w="460" w:type="dxa"/>
            <w:shd w:val="clear" w:color="auto" w:fill="auto"/>
            <w:noWrap/>
          </w:tcPr>
          <w:p w14:paraId="0F530871" w14:textId="77777777" w:rsidR="00B0334D" w:rsidRPr="00E2119F" w:rsidRDefault="00B0334D" w:rsidP="000E0DC5">
            <w:pPr>
              <w:rPr>
                <w:rFonts w:cstheme="minorHAnsi"/>
                <w:color w:val="000000"/>
                <w:lang w:eastAsia="fr-FR"/>
              </w:rPr>
            </w:pPr>
            <w:r w:rsidRPr="00E2119F">
              <w:rPr>
                <w:rFonts w:cstheme="minorHAnsi"/>
                <w:color w:val="000000"/>
                <w:lang w:eastAsia="fr-FR"/>
              </w:rPr>
              <w:t>6</w:t>
            </w:r>
          </w:p>
        </w:tc>
        <w:tc>
          <w:tcPr>
            <w:tcW w:w="3035" w:type="dxa"/>
            <w:shd w:val="clear" w:color="auto" w:fill="auto"/>
            <w:vAlign w:val="bottom"/>
            <w:hideMark/>
          </w:tcPr>
          <w:p w14:paraId="7F778068" w14:textId="77777777" w:rsidR="00B0334D" w:rsidRPr="00E2119F" w:rsidRDefault="00B0334D" w:rsidP="000E0DC5">
            <w:pPr>
              <w:rPr>
                <w:rFonts w:cstheme="minorHAnsi"/>
                <w:color w:val="000000"/>
                <w:lang w:eastAsia="fr-FR"/>
              </w:rPr>
            </w:pPr>
            <w:r w:rsidRPr="00E2119F">
              <w:rPr>
                <w:rFonts w:cstheme="minorHAnsi"/>
                <w:color w:val="000000"/>
                <w:lang w:eastAsia="fr-FR"/>
              </w:rPr>
              <w:t xml:space="preserve">Formation des enquêteurs/prétest de l'outil </w:t>
            </w:r>
          </w:p>
        </w:tc>
        <w:tc>
          <w:tcPr>
            <w:tcW w:w="1755" w:type="dxa"/>
            <w:shd w:val="clear" w:color="auto" w:fill="auto"/>
            <w:noWrap/>
            <w:vAlign w:val="bottom"/>
            <w:hideMark/>
          </w:tcPr>
          <w:p w14:paraId="2686202D" w14:textId="77777777" w:rsidR="00B0334D" w:rsidRPr="00E2119F" w:rsidRDefault="00B0334D" w:rsidP="000E0DC5">
            <w:pPr>
              <w:rPr>
                <w:rFonts w:cstheme="minorHAnsi"/>
                <w:color w:val="000000"/>
                <w:lang w:eastAsia="fr-FR"/>
              </w:rPr>
            </w:pPr>
            <w:r w:rsidRPr="00E2119F">
              <w:rPr>
                <w:rFonts w:cstheme="minorHAnsi"/>
                <w:color w:val="000000"/>
                <w:lang w:eastAsia="fr-FR"/>
              </w:rPr>
              <w:t> </w:t>
            </w:r>
          </w:p>
        </w:tc>
        <w:tc>
          <w:tcPr>
            <w:tcW w:w="1270" w:type="dxa"/>
            <w:shd w:val="clear" w:color="auto" w:fill="FFFF00"/>
          </w:tcPr>
          <w:p w14:paraId="028D24B6" w14:textId="77777777" w:rsidR="00B0334D" w:rsidRPr="00E2119F" w:rsidRDefault="00B0334D" w:rsidP="000E0DC5">
            <w:pPr>
              <w:rPr>
                <w:rFonts w:cstheme="minorHAnsi"/>
                <w:color w:val="000000"/>
                <w:lang w:eastAsia="fr-FR"/>
              </w:rPr>
            </w:pPr>
          </w:p>
        </w:tc>
        <w:tc>
          <w:tcPr>
            <w:tcW w:w="1271" w:type="dxa"/>
          </w:tcPr>
          <w:p w14:paraId="7BC5FCBB" w14:textId="77777777" w:rsidR="00B0334D" w:rsidRPr="00E2119F" w:rsidRDefault="00B0334D" w:rsidP="000E0DC5">
            <w:pPr>
              <w:rPr>
                <w:rFonts w:cstheme="minorHAnsi"/>
                <w:color w:val="000000"/>
                <w:lang w:eastAsia="fr-FR"/>
              </w:rPr>
            </w:pPr>
          </w:p>
        </w:tc>
        <w:tc>
          <w:tcPr>
            <w:tcW w:w="1271" w:type="dxa"/>
          </w:tcPr>
          <w:p w14:paraId="757D8EFD" w14:textId="77777777" w:rsidR="00B0334D" w:rsidRPr="00E2119F" w:rsidRDefault="00B0334D" w:rsidP="000E0DC5">
            <w:pPr>
              <w:rPr>
                <w:rFonts w:cstheme="minorHAnsi"/>
                <w:color w:val="000000"/>
                <w:lang w:eastAsia="fr-FR"/>
              </w:rPr>
            </w:pPr>
          </w:p>
        </w:tc>
      </w:tr>
      <w:tr w:rsidR="00B0334D" w:rsidRPr="00E2119F" w14:paraId="7BB38E87" w14:textId="77777777" w:rsidTr="000E0DC5">
        <w:trPr>
          <w:trHeight w:val="552"/>
        </w:trPr>
        <w:tc>
          <w:tcPr>
            <w:tcW w:w="460" w:type="dxa"/>
            <w:shd w:val="clear" w:color="auto" w:fill="auto"/>
            <w:noWrap/>
          </w:tcPr>
          <w:p w14:paraId="6D523A51" w14:textId="77777777" w:rsidR="00B0334D" w:rsidRPr="00E2119F" w:rsidRDefault="00B0334D" w:rsidP="000E0DC5">
            <w:pPr>
              <w:rPr>
                <w:rFonts w:cstheme="minorHAnsi"/>
                <w:color w:val="000000"/>
                <w:lang w:eastAsia="fr-FR"/>
              </w:rPr>
            </w:pPr>
            <w:r w:rsidRPr="00E2119F">
              <w:rPr>
                <w:rFonts w:cstheme="minorHAnsi"/>
                <w:color w:val="000000"/>
                <w:lang w:eastAsia="fr-FR"/>
              </w:rPr>
              <w:t>7</w:t>
            </w:r>
          </w:p>
        </w:tc>
        <w:tc>
          <w:tcPr>
            <w:tcW w:w="3035" w:type="dxa"/>
            <w:shd w:val="clear" w:color="auto" w:fill="auto"/>
            <w:vAlign w:val="bottom"/>
            <w:hideMark/>
          </w:tcPr>
          <w:p w14:paraId="06942227" w14:textId="77777777" w:rsidR="00B0334D" w:rsidRPr="00E2119F" w:rsidRDefault="00B0334D" w:rsidP="000E0DC5">
            <w:pPr>
              <w:rPr>
                <w:rFonts w:cstheme="minorHAnsi"/>
                <w:color w:val="000000"/>
                <w:lang w:eastAsia="fr-FR"/>
              </w:rPr>
            </w:pPr>
            <w:r w:rsidRPr="00E2119F">
              <w:rPr>
                <w:rFonts w:cstheme="minorHAnsi"/>
                <w:color w:val="000000"/>
                <w:lang w:eastAsia="fr-FR"/>
              </w:rPr>
              <w:t xml:space="preserve">Collecte et saisie des données </w:t>
            </w:r>
          </w:p>
        </w:tc>
        <w:tc>
          <w:tcPr>
            <w:tcW w:w="1755" w:type="dxa"/>
            <w:shd w:val="clear" w:color="auto" w:fill="auto"/>
            <w:noWrap/>
            <w:vAlign w:val="bottom"/>
            <w:hideMark/>
          </w:tcPr>
          <w:p w14:paraId="7BEED4DB" w14:textId="77777777" w:rsidR="00B0334D" w:rsidRPr="00E2119F" w:rsidRDefault="00B0334D" w:rsidP="000E0DC5">
            <w:pPr>
              <w:rPr>
                <w:rFonts w:cstheme="minorHAnsi"/>
                <w:color w:val="000000"/>
                <w:lang w:eastAsia="fr-FR"/>
              </w:rPr>
            </w:pPr>
            <w:r w:rsidRPr="00E2119F">
              <w:rPr>
                <w:rFonts w:cstheme="minorHAnsi"/>
                <w:color w:val="000000"/>
                <w:lang w:eastAsia="fr-FR"/>
              </w:rPr>
              <w:t> </w:t>
            </w:r>
          </w:p>
        </w:tc>
        <w:tc>
          <w:tcPr>
            <w:tcW w:w="1270" w:type="dxa"/>
            <w:shd w:val="clear" w:color="auto" w:fill="FFFF00"/>
          </w:tcPr>
          <w:p w14:paraId="1468D996" w14:textId="77777777" w:rsidR="00B0334D" w:rsidRPr="00E2119F" w:rsidRDefault="00B0334D" w:rsidP="000E0DC5">
            <w:pPr>
              <w:rPr>
                <w:rFonts w:cstheme="minorHAnsi"/>
                <w:color w:val="000000"/>
                <w:lang w:eastAsia="fr-FR"/>
              </w:rPr>
            </w:pPr>
          </w:p>
        </w:tc>
        <w:tc>
          <w:tcPr>
            <w:tcW w:w="1271" w:type="dxa"/>
          </w:tcPr>
          <w:p w14:paraId="15700512" w14:textId="77777777" w:rsidR="00B0334D" w:rsidRPr="00E2119F" w:rsidRDefault="00B0334D" w:rsidP="000E0DC5">
            <w:pPr>
              <w:rPr>
                <w:rFonts w:cstheme="minorHAnsi"/>
                <w:color w:val="000000"/>
                <w:lang w:eastAsia="fr-FR"/>
              </w:rPr>
            </w:pPr>
          </w:p>
        </w:tc>
        <w:tc>
          <w:tcPr>
            <w:tcW w:w="1271" w:type="dxa"/>
            <w:shd w:val="clear" w:color="auto" w:fill="FFFFFF" w:themeFill="background1"/>
          </w:tcPr>
          <w:p w14:paraId="057F3226" w14:textId="77777777" w:rsidR="00B0334D" w:rsidRPr="00E2119F" w:rsidRDefault="00B0334D" w:rsidP="000E0DC5">
            <w:pPr>
              <w:rPr>
                <w:rFonts w:cstheme="minorHAnsi"/>
                <w:color w:val="000000"/>
                <w:lang w:eastAsia="fr-FR"/>
              </w:rPr>
            </w:pPr>
          </w:p>
        </w:tc>
      </w:tr>
      <w:tr w:rsidR="00B0334D" w:rsidRPr="00E2119F" w14:paraId="26456515" w14:textId="77777777" w:rsidTr="000E0DC5">
        <w:trPr>
          <w:trHeight w:val="576"/>
        </w:trPr>
        <w:tc>
          <w:tcPr>
            <w:tcW w:w="460" w:type="dxa"/>
            <w:shd w:val="clear" w:color="auto" w:fill="auto"/>
            <w:noWrap/>
          </w:tcPr>
          <w:p w14:paraId="326FD01F" w14:textId="77777777" w:rsidR="00B0334D" w:rsidRPr="00E2119F" w:rsidRDefault="00B0334D" w:rsidP="000E0DC5">
            <w:pPr>
              <w:rPr>
                <w:rFonts w:cstheme="minorHAnsi"/>
                <w:color w:val="000000"/>
                <w:lang w:eastAsia="fr-FR"/>
              </w:rPr>
            </w:pPr>
            <w:r w:rsidRPr="00E2119F">
              <w:rPr>
                <w:rFonts w:cstheme="minorHAnsi"/>
                <w:color w:val="000000"/>
                <w:lang w:eastAsia="fr-FR"/>
              </w:rPr>
              <w:t>8</w:t>
            </w:r>
          </w:p>
        </w:tc>
        <w:tc>
          <w:tcPr>
            <w:tcW w:w="3035" w:type="dxa"/>
            <w:shd w:val="clear" w:color="auto" w:fill="auto"/>
            <w:vAlign w:val="bottom"/>
            <w:hideMark/>
          </w:tcPr>
          <w:p w14:paraId="06901181" w14:textId="77777777" w:rsidR="00B0334D" w:rsidRPr="00E2119F" w:rsidRDefault="00B0334D" w:rsidP="000E0DC5">
            <w:pPr>
              <w:rPr>
                <w:rFonts w:cstheme="minorHAnsi"/>
                <w:color w:val="000000"/>
                <w:lang w:eastAsia="fr-FR"/>
              </w:rPr>
            </w:pPr>
            <w:r w:rsidRPr="00E2119F">
              <w:rPr>
                <w:rFonts w:cstheme="minorHAnsi"/>
                <w:color w:val="000000"/>
                <w:lang w:eastAsia="fr-FR"/>
              </w:rPr>
              <w:t xml:space="preserve">Analyse et production du rapport provisoire </w:t>
            </w:r>
          </w:p>
        </w:tc>
        <w:tc>
          <w:tcPr>
            <w:tcW w:w="1755" w:type="dxa"/>
            <w:shd w:val="clear" w:color="auto" w:fill="auto"/>
            <w:noWrap/>
            <w:vAlign w:val="bottom"/>
            <w:hideMark/>
          </w:tcPr>
          <w:p w14:paraId="5FFC25FA" w14:textId="77777777" w:rsidR="00B0334D" w:rsidRPr="00E2119F" w:rsidRDefault="00B0334D" w:rsidP="000E0DC5">
            <w:pPr>
              <w:rPr>
                <w:rFonts w:cstheme="minorHAnsi"/>
                <w:color w:val="000000"/>
                <w:lang w:eastAsia="fr-FR"/>
              </w:rPr>
            </w:pPr>
            <w:r w:rsidRPr="00E2119F">
              <w:rPr>
                <w:rFonts w:cstheme="minorHAnsi"/>
                <w:color w:val="000000"/>
                <w:lang w:eastAsia="fr-FR"/>
              </w:rPr>
              <w:t> </w:t>
            </w:r>
          </w:p>
        </w:tc>
        <w:tc>
          <w:tcPr>
            <w:tcW w:w="1270" w:type="dxa"/>
          </w:tcPr>
          <w:p w14:paraId="6749D6C9" w14:textId="77777777" w:rsidR="00B0334D" w:rsidRPr="00E2119F" w:rsidRDefault="00B0334D" w:rsidP="000E0DC5">
            <w:pPr>
              <w:rPr>
                <w:rFonts w:cstheme="minorHAnsi"/>
                <w:color w:val="000000"/>
                <w:lang w:eastAsia="fr-FR"/>
              </w:rPr>
            </w:pPr>
          </w:p>
        </w:tc>
        <w:tc>
          <w:tcPr>
            <w:tcW w:w="1271" w:type="dxa"/>
            <w:shd w:val="clear" w:color="auto" w:fill="FFFF00"/>
          </w:tcPr>
          <w:p w14:paraId="16C1DD99" w14:textId="77777777" w:rsidR="00B0334D" w:rsidRPr="00E2119F" w:rsidRDefault="00B0334D" w:rsidP="000E0DC5">
            <w:pPr>
              <w:rPr>
                <w:rFonts w:cstheme="minorHAnsi"/>
                <w:color w:val="000000"/>
                <w:lang w:eastAsia="fr-FR"/>
              </w:rPr>
            </w:pPr>
          </w:p>
        </w:tc>
        <w:tc>
          <w:tcPr>
            <w:tcW w:w="1271" w:type="dxa"/>
            <w:shd w:val="clear" w:color="auto" w:fill="FFFFFF" w:themeFill="background1"/>
          </w:tcPr>
          <w:p w14:paraId="265F04BC" w14:textId="77777777" w:rsidR="00B0334D" w:rsidRPr="00E2119F" w:rsidRDefault="00B0334D" w:rsidP="000E0DC5">
            <w:pPr>
              <w:rPr>
                <w:rFonts w:cstheme="minorHAnsi"/>
                <w:color w:val="000000"/>
                <w:lang w:eastAsia="fr-FR"/>
              </w:rPr>
            </w:pPr>
          </w:p>
        </w:tc>
      </w:tr>
      <w:tr w:rsidR="00B0334D" w:rsidRPr="00E2119F" w14:paraId="39EB8017" w14:textId="77777777" w:rsidTr="000E0DC5">
        <w:trPr>
          <w:trHeight w:val="576"/>
        </w:trPr>
        <w:tc>
          <w:tcPr>
            <w:tcW w:w="460" w:type="dxa"/>
            <w:shd w:val="clear" w:color="auto" w:fill="auto"/>
            <w:noWrap/>
          </w:tcPr>
          <w:p w14:paraId="4F43A6BA" w14:textId="77777777" w:rsidR="00B0334D" w:rsidRPr="00E2119F" w:rsidRDefault="00B0334D" w:rsidP="000E0DC5">
            <w:pPr>
              <w:rPr>
                <w:rFonts w:cstheme="minorHAnsi"/>
                <w:color w:val="000000"/>
                <w:lang w:eastAsia="fr-FR"/>
              </w:rPr>
            </w:pPr>
            <w:r w:rsidRPr="00E2119F">
              <w:rPr>
                <w:rFonts w:cstheme="minorHAnsi"/>
                <w:color w:val="000000"/>
                <w:lang w:eastAsia="fr-FR"/>
              </w:rPr>
              <w:t>9</w:t>
            </w:r>
          </w:p>
        </w:tc>
        <w:tc>
          <w:tcPr>
            <w:tcW w:w="3035" w:type="dxa"/>
            <w:shd w:val="clear" w:color="auto" w:fill="auto"/>
            <w:vAlign w:val="bottom"/>
            <w:hideMark/>
          </w:tcPr>
          <w:p w14:paraId="71600E13" w14:textId="77777777" w:rsidR="00B0334D" w:rsidRPr="00E2119F" w:rsidRDefault="00B0334D" w:rsidP="000E0DC5">
            <w:pPr>
              <w:rPr>
                <w:rFonts w:cstheme="minorHAnsi"/>
                <w:color w:val="000000"/>
                <w:lang w:eastAsia="fr-FR"/>
              </w:rPr>
            </w:pPr>
            <w:r w:rsidRPr="00E2119F">
              <w:rPr>
                <w:rFonts w:cstheme="minorHAnsi"/>
                <w:color w:val="000000"/>
                <w:lang w:eastAsia="fr-FR"/>
              </w:rPr>
              <w:t>Atelier de validation du rapport provisoire</w:t>
            </w:r>
          </w:p>
        </w:tc>
        <w:tc>
          <w:tcPr>
            <w:tcW w:w="1755" w:type="dxa"/>
            <w:shd w:val="clear" w:color="auto" w:fill="auto"/>
            <w:noWrap/>
            <w:vAlign w:val="bottom"/>
            <w:hideMark/>
          </w:tcPr>
          <w:p w14:paraId="0D08ED4F" w14:textId="77777777" w:rsidR="00B0334D" w:rsidRPr="00E2119F" w:rsidRDefault="00B0334D" w:rsidP="000E0DC5">
            <w:pPr>
              <w:rPr>
                <w:rFonts w:cstheme="minorHAnsi"/>
                <w:color w:val="000000"/>
                <w:lang w:eastAsia="fr-FR"/>
              </w:rPr>
            </w:pPr>
            <w:r w:rsidRPr="00E2119F">
              <w:rPr>
                <w:rFonts w:cstheme="minorHAnsi"/>
                <w:color w:val="000000"/>
                <w:lang w:eastAsia="fr-FR"/>
              </w:rPr>
              <w:t> </w:t>
            </w:r>
          </w:p>
        </w:tc>
        <w:tc>
          <w:tcPr>
            <w:tcW w:w="1270" w:type="dxa"/>
          </w:tcPr>
          <w:p w14:paraId="2A84B3A9" w14:textId="77777777" w:rsidR="00B0334D" w:rsidRPr="00E2119F" w:rsidRDefault="00B0334D" w:rsidP="000E0DC5">
            <w:pPr>
              <w:rPr>
                <w:rFonts w:cstheme="minorHAnsi"/>
                <w:color w:val="000000"/>
                <w:lang w:eastAsia="fr-FR"/>
              </w:rPr>
            </w:pPr>
          </w:p>
        </w:tc>
        <w:tc>
          <w:tcPr>
            <w:tcW w:w="1271" w:type="dxa"/>
            <w:shd w:val="clear" w:color="auto" w:fill="FFFFFF" w:themeFill="background1"/>
          </w:tcPr>
          <w:p w14:paraId="3FED2A91" w14:textId="77777777" w:rsidR="00B0334D" w:rsidRPr="00E2119F" w:rsidRDefault="00B0334D" w:rsidP="000E0DC5">
            <w:pPr>
              <w:tabs>
                <w:tab w:val="left" w:pos="651"/>
              </w:tabs>
              <w:rPr>
                <w:rFonts w:cstheme="minorHAnsi"/>
                <w:color w:val="000000"/>
                <w:lang w:eastAsia="fr-FR"/>
              </w:rPr>
            </w:pPr>
            <w:r>
              <w:rPr>
                <w:rFonts w:cstheme="minorHAnsi"/>
                <w:color w:val="000000"/>
                <w:lang w:eastAsia="fr-FR"/>
              </w:rPr>
              <w:tab/>
            </w:r>
          </w:p>
        </w:tc>
        <w:tc>
          <w:tcPr>
            <w:tcW w:w="1271" w:type="dxa"/>
            <w:shd w:val="clear" w:color="auto" w:fill="FFFF00"/>
          </w:tcPr>
          <w:p w14:paraId="0886E428" w14:textId="77777777" w:rsidR="00B0334D" w:rsidRPr="00E2119F" w:rsidRDefault="00B0334D" w:rsidP="000E0DC5">
            <w:pPr>
              <w:rPr>
                <w:rFonts w:cstheme="minorHAnsi"/>
                <w:color w:val="000000"/>
                <w:lang w:eastAsia="fr-FR"/>
              </w:rPr>
            </w:pPr>
          </w:p>
        </w:tc>
      </w:tr>
      <w:tr w:rsidR="00B0334D" w:rsidRPr="00E2119F" w14:paraId="71C66CA4" w14:textId="77777777" w:rsidTr="000E0DC5">
        <w:trPr>
          <w:trHeight w:val="445"/>
        </w:trPr>
        <w:tc>
          <w:tcPr>
            <w:tcW w:w="460" w:type="dxa"/>
            <w:shd w:val="clear" w:color="auto" w:fill="auto"/>
            <w:noWrap/>
          </w:tcPr>
          <w:p w14:paraId="1A9DB69E" w14:textId="77777777" w:rsidR="00B0334D" w:rsidRPr="00E2119F" w:rsidRDefault="00B0334D" w:rsidP="000E0DC5">
            <w:pPr>
              <w:rPr>
                <w:rFonts w:cstheme="minorHAnsi"/>
                <w:color w:val="000000"/>
                <w:lang w:eastAsia="fr-FR"/>
              </w:rPr>
            </w:pPr>
            <w:r w:rsidRPr="00E2119F">
              <w:rPr>
                <w:rFonts w:cstheme="minorHAnsi"/>
                <w:color w:val="000000"/>
                <w:lang w:eastAsia="fr-FR"/>
              </w:rPr>
              <w:t>10</w:t>
            </w:r>
          </w:p>
        </w:tc>
        <w:tc>
          <w:tcPr>
            <w:tcW w:w="3035" w:type="dxa"/>
            <w:shd w:val="clear" w:color="auto" w:fill="auto"/>
            <w:vAlign w:val="bottom"/>
            <w:hideMark/>
          </w:tcPr>
          <w:p w14:paraId="2F739115" w14:textId="77777777" w:rsidR="00B0334D" w:rsidRPr="00E2119F" w:rsidRDefault="00B0334D" w:rsidP="000E0DC5">
            <w:pPr>
              <w:rPr>
                <w:rFonts w:cstheme="minorHAnsi"/>
                <w:color w:val="000000"/>
                <w:lang w:eastAsia="fr-FR"/>
              </w:rPr>
            </w:pPr>
            <w:r w:rsidRPr="00E2119F">
              <w:rPr>
                <w:rFonts w:cstheme="minorHAnsi"/>
                <w:color w:val="000000"/>
                <w:lang w:eastAsia="fr-FR"/>
              </w:rPr>
              <w:t>Production du rapport final</w:t>
            </w:r>
          </w:p>
        </w:tc>
        <w:tc>
          <w:tcPr>
            <w:tcW w:w="1755" w:type="dxa"/>
            <w:shd w:val="clear" w:color="auto" w:fill="auto"/>
            <w:noWrap/>
            <w:vAlign w:val="bottom"/>
            <w:hideMark/>
          </w:tcPr>
          <w:p w14:paraId="7F91A99E" w14:textId="77777777" w:rsidR="00B0334D" w:rsidRPr="00E2119F" w:rsidRDefault="00B0334D" w:rsidP="000E0DC5">
            <w:pPr>
              <w:rPr>
                <w:rFonts w:cstheme="minorHAnsi"/>
                <w:color w:val="000000"/>
                <w:lang w:eastAsia="fr-FR"/>
              </w:rPr>
            </w:pPr>
            <w:r w:rsidRPr="00E2119F">
              <w:rPr>
                <w:rFonts w:cstheme="minorHAnsi"/>
                <w:color w:val="000000"/>
                <w:lang w:eastAsia="fr-FR"/>
              </w:rPr>
              <w:t> </w:t>
            </w:r>
          </w:p>
        </w:tc>
        <w:tc>
          <w:tcPr>
            <w:tcW w:w="1270" w:type="dxa"/>
          </w:tcPr>
          <w:p w14:paraId="12250E2F" w14:textId="77777777" w:rsidR="00B0334D" w:rsidRPr="00E2119F" w:rsidRDefault="00B0334D" w:rsidP="000E0DC5">
            <w:pPr>
              <w:rPr>
                <w:rFonts w:cstheme="minorHAnsi"/>
                <w:color w:val="000000"/>
                <w:lang w:eastAsia="fr-FR"/>
              </w:rPr>
            </w:pPr>
          </w:p>
        </w:tc>
        <w:tc>
          <w:tcPr>
            <w:tcW w:w="1271" w:type="dxa"/>
          </w:tcPr>
          <w:p w14:paraId="329DD740" w14:textId="77777777" w:rsidR="00B0334D" w:rsidRPr="00E2119F" w:rsidRDefault="00B0334D" w:rsidP="000E0DC5">
            <w:pPr>
              <w:rPr>
                <w:rFonts w:cstheme="minorHAnsi"/>
                <w:color w:val="000000"/>
                <w:lang w:eastAsia="fr-FR"/>
              </w:rPr>
            </w:pPr>
          </w:p>
        </w:tc>
        <w:tc>
          <w:tcPr>
            <w:tcW w:w="1271" w:type="dxa"/>
            <w:shd w:val="clear" w:color="auto" w:fill="FFFF00"/>
          </w:tcPr>
          <w:p w14:paraId="6C57723D" w14:textId="77777777" w:rsidR="00B0334D" w:rsidRPr="00E2119F" w:rsidRDefault="00B0334D" w:rsidP="000E0DC5">
            <w:pPr>
              <w:rPr>
                <w:rFonts w:cstheme="minorHAnsi"/>
                <w:color w:val="000000"/>
                <w:lang w:eastAsia="fr-FR"/>
              </w:rPr>
            </w:pPr>
          </w:p>
        </w:tc>
      </w:tr>
    </w:tbl>
    <w:p w14:paraId="6442D1BA" w14:textId="77777777" w:rsidR="00B0334D" w:rsidRDefault="00B0334D">
      <w:pPr>
        <w:spacing w:after="200" w:line="276" w:lineRule="auto"/>
      </w:pPr>
    </w:p>
    <w:p w14:paraId="7274BA0A" w14:textId="77777777" w:rsidR="00B0334D" w:rsidRDefault="00B0334D">
      <w:pPr>
        <w:spacing w:after="200" w:line="276" w:lineRule="auto"/>
      </w:pPr>
    </w:p>
    <w:sectPr w:rsidR="00B0334D" w:rsidSect="0052024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939E" w14:textId="77777777" w:rsidR="0012615F" w:rsidRDefault="0012615F" w:rsidP="004E6664">
      <w:r>
        <w:separator/>
      </w:r>
    </w:p>
  </w:endnote>
  <w:endnote w:type="continuationSeparator" w:id="0">
    <w:p w14:paraId="4F4736F4" w14:textId="77777777" w:rsidR="0012615F" w:rsidRDefault="0012615F" w:rsidP="004E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7465" w14:textId="77777777" w:rsidR="00C82EF2" w:rsidRDefault="00C82E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A9C4" w14:textId="77777777" w:rsidR="00A3485D" w:rsidRDefault="00271E93">
    <w:pPr>
      <w:pStyle w:val="Pieddepage"/>
      <w:jc w:val="center"/>
      <w:rPr>
        <w:caps/>
        <w:color w:val="4F81BD" w:themeColor="accent1"/>
      </w:rPr>
    </w:pPr>
    <w:r>
      <w:rPr>
        <w:caps/>
        <w:color w:val="4F81BD" w:themeColor="accent1"/>
      </w:rPr>
      <w:fldChar w:fldCharType="begin"/>
    </w:r>
    <w:r w:rsidR="00A3485D">
      <w:rPr>
        <w:caps/>
        <w:color w:val="4F81BD" w:themeColor="accent1"/>
      </w:rPr>
      <w:instrText>PAGE   \* MERGEFORMAT</w:instrText>
    </w:r>
    <w:r>
      <w:rPr>
        <w:caps/>
        <w:color w:val="4F81BD" w:themeColor="accent1"/>
      </w:rPr>
      <w:fldChar w:fldCharType="separate"/>
    </w:r>
    <w:r w:rsidR="00591FB2">
      <w:rPr>
        <w:caps/>
        <w:noProof/>
        <w:color w:val="4F81BD" w:themeColor="accent1"/>
      </w:rPr>
      <w:t>3</w:t>
    </w:r>
    <w:r>
      <w:rPr>
        <w:caps/>
        <w:color w:val="4F81BD" w:themeColor="accent1"/>
      </w:rPr>
      <w:fldChar w:fldCharType="end"/>
    </w:r>
  </w:p>
  <w:p w14:paraId="6E32BC89" w14:textId="77777777" w:rsidR="00A3485D" w:rsidRDefault="00A348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428" w14:textId="77777777" w:rsidR="00C82EF2" w:rsidRDefault="00C82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B02E" w14:textId="77777777" w:rsidR="0012615F" w:rsidRDefault="0012615F" w:rsidP="004E6664">
      <w:r>
        <w:separator/>
      </w:r>
    </w:p>
  </w:footnote>
  <w:footnote w:type="continuationSeparator" w:id="0">
    <w:p w14:paraId="64D678AC" w14:textId="77777777" w:rsidR="0012615F" w:rsidRDefault="0012615F" w:rsidP="004E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4EA7" w14:textId="77777777" w:rsidR="00C82EF2" w:rsidRDefault="00C82E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8440" w14:textId="77777777" w:rsidR="00A3485D" w:rsidRDefault="00A348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DBD4" w14:textId="77777777" w:rsidR="00C82EF2" w:rsidRDefault="00C82E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C80"/>
    <w:multiLevelType w:val="hybridMultilevel"/>
    <w:tmpl w:val="56B6D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51219"/>
    <w:multiLevelType w:val="multilevel"/>
    <w:tmpl w:val="0498B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34121"/>
    <w:multiLevelType w:val="hybridMultilevel"/>
    <w:tmpl w:val="8AD44C22"/>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D5700"/>
    <w:multiLevelType w:val="hybridMultilevel"/>
    <w:tmpl w:val="23B895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C32DF6"/>
    <w:multiLevelType w:val="hybridMultilevel"/>
    <w:tmpl w:val="EC1A6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501C5"/>
    <w:multiLevelType w:val="multilevel"/>
    <w:tmpl w:val="310E4AEA"/>
    <w:lvl w:ilvl="0">
      <w:start w:val="1"/>
      <w:numFmt w:val="bullet"/>
      <w:lvlText w:val="●"/>
      <w:lvlJc w:val="left"/>
      <w:pPr>
        <w:ind w:left="360" w:hanging="360"/>
      </w:pPr>
      <w:rPr>
        <w:rFonts w:ascii="Noto Sans Symbols" w:eastAsia="Noto Sans Symbols" w:hAnsi="Noto Sans Symbols" w:cs="Noto Sans Symbols"/>
      </w:rPr>
    </w:lvl>
    <w:lvl w:ilvl="1">
      <w:start w:val="1"/>
      <w:numFmt w:val="upperRoman"/>
      <w:lvlText w:val="%2."/>
      <w:lvlJc w:val="right"/>
      <w:pPr>
        <w:ind w:left="1080" w:hanging="360"/>
      </w:pPr>
    </w:lvl>
    <w:lvl w:ilvl="2">
      <w:start w:val="1"/>
      <w:numFmt w:val="bullet"/>
      <w:lvlText w:val="•"/>
      <w:lvlJc w:val="right"/>
      <w:pPr>
        <w:ind w:left="1800" w:hanging="360"/>
      </w:pPr>
      <w:rPr>
        <w:rFonts w:ascii="Arial" w:eastAsia="Arial" w:hAnsi="Arial" w:cs="Arial"/>
      </w:rPr>
    </w:lvl>
    <w:lvl w:ilvl="3">
      <w:start w:val="1"/>
      <w:numFmt w:val="bullet"/>
      <w:lvlText w:val="-"/>
      <w:lvlJc w:val="left"/>
      <w:pPr>
        <w:ind w:left="2520" w:hanging="360"/>
      </w:pPr>
      <w:rPr>
        <w:rFonts w:ascii="Calibri" w:eastAsia="Calibri" w:hAnsi="Calibri" w:cs="Calibri"/>
      </w:rPr>
    </w:lvl>
    <w:lvl w:ilvl="4">
      <w:start w:val="1"/>
      <w:numFmt w:val="upperRoman"/>
      <w:lvlText w:val="%5."/>
      <w:lvlJc w:val="right"/>
      <w:pPr>
        <w:ind w:left="3240" w:hanging="360"/>
      </w:pPr>
    </w:lvl>
    <w:lvl w:ilvl="5">
      <w:start w:val="1"/>
      <w:numFmt w:val="upperRoman"/>
      <w:lvlText w:val="%6."/>
      <w:lvlJc w:val="right"/>
      <w:pPr>
        <w:ind w:left="3960" w:hanging="360"/>
      </w:pPr>
    </w:lvl>
    <w:lvl w:ilvl="6">
      <w:start w:val="1"/>
      <w:numFmt w:val="upperRoman"/>
      <w:lvlText w:val="%7."/>
      <w:lvlJc w:val="right"/>
      <w:pPr>
        <w:ind w:left="4680" w:hanging="360"/>
      </w:pPr>
    </w:lvl>
    <w:lvl w:ilvl="7">
      <w:start w:val="1"/>
      <w:numFmt w:val="upperRoman"/>
      <w:lvlText w:val="%8."/>
      <w:lvlJc w:val="right"/>
      <w:pPr>
        <w:ind w:left="5400" w:hanging="360"/>
      </w:pPr>
    </w:lvl>
    <w:lvl w:ilvl="8">
      <w:start w:val="1"/>
      <w:numFmt w:val="upperRoman"/>
      <w:lvlText w:val="%9."/>
      <w:lvlJc w:val="right"/>
      <w:pPr>
        <w:ind w:left="6120" w:hanging="360"/>
      </w:pPr>
    </w:lvl>
  </w:abstractNum>
  <w:abstractNum w:abstractNumId="6" w15:restartNumberingAfterBreak="0">
    <w:nsid w:val="125E5899"/>
    <w:multiLevelType w:val="hybridMultilevel"/>
    <w:tmpl w:val="69E6FC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7061ED"/>
    <w:multiLevelType w:val="hybridMultilevel"/>
    <w:tmpl w:val="BA0E4564"/>
    <w:lvl w:ilvl="0" w:tplc="49A6E47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62A41"/>
    <w:multiLevelType w:val="hybridMultilevel"/>
    <w:tmpl w:val="5318574E"/>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D16B8"/>
    <w:multiLevelType w:val="hybridMultilevel"/>
    <w:tmpl w:val="1A78C5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07D88"/>
    <w:multiLevelType w:val="multilevel"/>
    <w:tmpl w:val="2E9A2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8E228B"/>
    <w:multiLevelType w:val="hybridMultilevel"/>
    <w:tmpl w:val="3D9E3C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4B86B67"/>
    <w:multiLevelType w:val="hybridMultilevel"/>
    <w:tmpl w:val="BDF01F42"/>
    <w:lvl w:ilvl="0" w:tplc="2AEE62B2">
      <w:start w:val="2"/>
      <w:numFmt w:val="bullet"/>
      <w:lvlText w:val=""/>
      <w:lvlJc w:val="left"/>
      <w:pPr>
        <w:tabs>
          <w:tab w:val="num" w:pos="360"/>
        </w:tabs>
        <w:ind w:left="360" w:hanging="360"/>
      </w:pPr>
      <w:rPr>
        <w:rFonts w:ascii="Symbol" w:eastAsia="Times New Roman" w:hAnsi="Symbo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0C71A3"/>
    <w:multiLevelType w:val="multilevel"/>
    <w:tmpl w:val="7374BEB8"/>
    <w:lvl w:ilvl="0">
      <w:start w:val="1"/>
      <w:numFmt w:val="decimal"/>
      <w:lvlText w:val="%1."/>
      <w:lvlJc w:val="right"/>
      <w:pPr>
        <w:ind w:left="360" w:hanging="360"/>
      </w:pPr>
    </w:lvl>
    <w:lvl w:ilvl="1">
      <w:start w:val="1"/>
      <w:numFmt w:val="upperRoman"/>
      <w:lvlText w:val="%2."/>
      <w:lvlJc w:val="right"/>
      <w:pPr>
        <w:ind w:left="1080" w:hanging="360"/>
      </w:pPr>
    </w:lvl>
    <w:lvl w:ilvl="2">
      <w:start w:val="1"/>
      <w:numFmt w:val="bullet"/>
      <w:lvlText w:val="•"/>
      <w:lvlJc w:val="right"/>
      <w:pPr>
        <w:ind w:left="1800" w:hanging="360"/>
      </w:pPr>
      <w:rPr>
        <w:rFonts w:ascii="Arial" w:eastAsia="Arial" w:hAnsi="Arial" w:cs="Arial"/>
      </w:rPr>
    </w:lvl>
    <w:lvl w:ilvl="3">
      <w:start w:val="1"/>
      <w:numFmt w:val="bullet"/>
      <w:lvlText w:val="-"/>
      <w:lvlJc w:val="left"/>
      <w:pPr>
        <w:ind w:left="2520" w:hanging="360"/>
      </w:pPr>
      <w:rPr>
        <w:rFonts w:ascii="Calibri" w:eastAsia="Calibri" w:hAnsi="Calibri" w:cs="Calibri"/>
      </w:rPr>
    </w:lvl>
    <w:lvl w:ilvl="4">
      <w:start w:val="1"/>
      <w:numFmt w:val="upperRoman"/>
      <w:lvlText w:val="%5."/>
      <w:lvlJc w:val="right"/>
      <w:pPr>
        <w:ind w:left="3240" w:hanging="360"/>
      </w:pPr>
    </w:lvl>
    <w:lvl w:ilvl="5">
      <w:start w:val="1"/>
      <w:numFmt w:val="upperRoman"/>
      <w:lvlText w:val="%6."/>
      <w:lvlJc w:val="right"/>
      <w:pPr>
        <w:ind w:left="3960" w:hanging="360"/>
      </w:pPr>
    </w:lvl>
    <w:lvl w:ilvl="6">
      <w:start w:val="1"/>
      <w:numFmt w:val="upperRoman"/>
      <w:lvlText w:val="%7."/>
      <w:lvlJc w:val="right"/>
      <w:pPr>
        <w:ind w:left="4680" w:hanging="360"/>
      </w:pPr>
    </w:lvl>
    <w:lvl w:ilvl="7">
      <w:start w:val="1"/>
      <w:numFmt w:val="upperRoman"/>
      <w:lvlText w:val="%8."/>
      <w:lvlJc w:val="right"/>
      <w:pPr>
        <w:ind w:left="5400" w:hanging="360"/>
      </w:pPr>
    </w:lvl>
    <w:lvl w:ilvl="8">
      <w:start w:val="1"/>
      <w:numFmt w:val="upperRoman"/>
      <w:lvlText w:val="%9."/>
      <w:lvlJc w:val="right"/>
      <w:pPr>
        <w:ind w:left="6120" w:hanging="360"/>
      </w:pPr>
    </w:lvl>
  </w:abstractNum>
  <w:abstractNum w:abstractNumId="14" w15:restartNumberingAfterBreak="0">
    <w:nsid w:val="29740ACB"/>
    <w:multiLevelType w:val="hybridMultilevel"/>
    <w:tmpl w:val="4CE8D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F83097"/>
    <w:multiLevelType w:val="hybridMultilevel"/>
    <w:tmpl w:val="92B49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B332D2"/>
    <w:multiLevelType w:val="multilevel"/>
    <w:tmpl w:val="B29E0504"/>
    <w:lvl w:ilvl="0">
      <w:start w:val="1"/>
      <w:numFmt w:val="bullet"/>
      <w:lvlText w:val="●"/>
      <w:lvlJc w:val="left"/>
      <w:pPr>
        <w:ind w:left="720" w:hanging="360"/>
      </w:pPr>
      <w:rPr>
        <w:rFonts w:ascii="Noto Sans Symbols" w:eastAsia="Noto Sans Symbols" w:hAnsi="Noto Sans Symbols" w:cs="Noto Sans Symbols"/>
      </w:rPr>
    </w:lvl>
    <w:lvl w:ilvl="1">
      <w:start w:val="1"/>
      <w:numFmt w:val="upperRoman"/>
      <w:lvlText w:val="%2."/>
      <w:lvlJc w:val="right"/>
      <w:pPr>
        <w:ind w:left="1440" w:hanging="360"/>
      </w:pPr>
    </w:lvl>
    <w:lvl w:ilvl="2">
      <w:start w:val="1"/>
      <w:numFmt w:val="bullet"/>
      <w:lvlText w:val="•"/>
      <w:lvlJc w:val="right"/>
      <w:pPr>
        <w:ind w:left="2160" w:hanging="360"/>
      </w:pPr>
      <w:rPr>
        <w:rFonts w:ascii="Arial" w:eastAsia="Arial" w:hAnsi="Arial" w:cs="Arial"/>
      </w:rPr>
    </w:lvl>
    <w:lvl w:ilvl="3">
      <w:start w:val="1"/>
      <w:numFmt w:val="bullet"/>
      <w:lvlText w:val="-"/>
      <w:lvlJc w:val="left"/>
      <w:pPr>
        <w:ind w:left="2880" w:hanging="360"/>
      </w:pPr>
      <w:rPr>
        <w:rFonts w:ascii="Calibri" w:eastAsia="Calibri" w:hAnsi="Calibri" w:cs="Calibri"/>
      </w:r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7" w15:restartNumberingAfterBreak="0">
    <w:nsid w:val="38107A8C"/>
    <w:multiLevelType w:val="hybridMultilevel"/>
    <w:tmpl w:val="38FA474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E952B0"/>
    <w:multiLevelType w:val="multilevel"/>
    <w:tmpl w:val="C46E44C6"/>
    <w:lvl w:ilvl="0">
      <w:start w:val="1"/>
      <w:numFmt w:val="bullet"/>
      <w:lvlText w:val=""/>
      <w:lvlJc w:val="left"/>
      <w:pPr>
        <w:ind w:left="360" w:hanging="360"/>
      </w:pPr>
      <w:rPr>
        <w:rFonts w:ascii="Symbol" w:hAnsi="Symbol" w:hint="default"/>
      </w:rPr>
    </w:lvl>
    <w:lvl w:ilvl="1">
      <w:start w:val="1"/>
      <w:numFmt w:val="upperRoman"/>
      <w:lvlText w:val="%2."/>
      <w:lvlJc w:val="right"/>
      <w:pPr>
        <w:ind w:left="1080" w:hanging="360"/>
      </w:pPr>
    </w:lvl>
    <w:lvl w:ilvl="2">
      <w:start w:val="1"/>
      <w:numFmt w:val="bullet"/>
      <w:lvlText w:val="•"/>
      <w:lvlJc w:val="right"/>
      <w:pPr>
        <w:ind w:left="1800" w:hanging="360"/>
      </w:pPr>
      <w:rPr>
        <w:rFonts w:ascii="Arial" w:eastAsia="Arial" w:hAnsi="Arial" w:cs="Arial"/>
      </w:rPr>
    </w:lvl>
    <w:lvl w:ilvl="3">
      <w:start w:val="1"/>
      <w:numFmt w:val="bullet"/>
      <w:lvlText w:val="-"/>
      <w:lvlJc w:val="left"/>
      <w:pPr>
        <w:ind w:left="2520" w:hanging="360"/>
      </w:pPr>
      <w:rPr>
        <w:rFonts w:ascii="Calibri" w:eastAsia="Calibri" w:hAnsi="Calibri" w:cs="Calibri"/>
      </w:rPr>
    </w:lvl>
    <w:lvl w:ilvl="4">
      <w:start w:val="1"/>
      <w:numFmt w:val="upperRoman"/>
      <w:lvlText w:val="%5."/>
      <w:lvlJc w:val="right"/>
      <w:pPr>
        <w:ind w:left="3240" w:hanging="360"/>
      </w:pPr>
    </w:lvl>
    <w:lvl w:ilvl="5">
      <w:start w:val="1"/>
      <w:numFmt w:val="upperRoman"/>
      <w:lvlText w:val="%6."/>
      <w:lvlJc w:val="right"/>
      <w:pPr>
        <w:ind w:left="3960" w:hanging="360"/>
      </w:pPr>
    </w:lvl>
    <w:lvl w:ilvl="6">
      <w:start w:val="1"/>
      <w:numFmt w:val="upperRoman"/>
      <w:lvlText w:val="%7."/>
      <w:lvlJc w:val="right"/>
      <w:pPr>
        <w:ind w:left="4680" w:hanging="360"/>
      </w:pPr>
    </w:lvl>
    <w:lvl w:ilvl="7">
      <w:start w:val="1"/>
      <w:numFmt w:val="upperRoman"/>
      <w:lvlText w:val="%8."/>
      <w:lvlJc w:val="right"/>
      <w:pPr>
        <w:ind w:left="5400" w:hanging="360"/>
      </w:pPr>
    </w:lvl>
    <w:lvl w:ilvl="8">
      <w:start w:val="1"/>
      <w:numFmt w:val="upperRoman"/>
      <w:lvlText w:val="%9."/>
      <w:lvlJc w:val="right"/>
      <w:pPr>
        <w:ind w:left="6120" w:hanging="360"/>
      </w:pPr>
    </w:lvl>
  </w:abstractNum>
  <w:abstractNum w:abstractNumId="19" w15:restartNumberingAfterBreak="0">
    <w:nsid w:val="3A10381F"/>
    <w:multiLevelType w:val="hybridMultilevel"/>
    <w:tmpl w:val="8E804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845B6"/>
    <w:multiLevelType w:val="hybridMultilevel"/>
    <w:tmpl w:val="130C1C9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4D7ACB"/>
    <w:multiLevelType w:val="hybridMultilevel"/>
    <w:tmpl w:val="05000F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F247EC"/>
    <w:multiLevelType w:val="hybridMultilevel"/>
    <w:tmpl w:val="AE42A510"/>
    <w:lvl w:ilvl="0" w:tplc="003096B6">
      <w:start w:val="1"/>
      <w:numFmt w:val="decimal"/>
      <w:lvlText w:val="%1."/>
      <w:lvlJc w:val="left"/>
      <w:pPr>
        <w:ind w:left="360" w:hanging="36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923075"/>
    <w:multiLevelType w:val="hybridMultilevel"/>
    <w:tmpl w:val="7742A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37AF8"/>
    <w:multiLevelType w:val="hybridMultilevel"/>
    <w:tmpl w:val="2C4A5D12"/>
    <w:lvl w:ilvl="0" w:tplc="408481C0">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B042D76"/>
    <w:multiLevelType w:val="hybridMultilevel"/>
    <w:tmpl w:val="6B3A0D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2B113BA"/>
    <w:multiLevelType w:val="hybridMultilevel"/>
    <w:tmpl w:val="00CE2F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412438"/>
    <w:multiLevelType w:val="hybridMultilevel"/>
    <w:tmpl w:val="7ADE13BC"/>
    <w:lvl w:ilvl="0" w:tplc="57FCEC32">
      <w:start w:val="1"/>
      <w:numFmt w:val="bullet"/>
      <w:pStyle w:val="Paragraphedelist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F4559B"/>
    <w:multiLevelType w:val="multilevel"/>
    <w:tmpl w:val="EAC41E42"/>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29" w15:restartNumberingAfterBreak="0">
    <w:nsid w:val="599E53CC"/>
    <w:multiLevelType w:val="multilevel"/>
    <w:tmpl w:val="0CBE4ADE"/>
    <w:lvl w:ilvl="0">
      <w:start w:val="1"/>
      <w:numFmt w:val="lowerRoman"/>
      <w:lvlText w:val="%1."/>
      <w:lvlJc w:val="righ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CDB1456"/>
    <w:multiLevelType w:val="hybridMultilevel"/>
    <w:tmpl w:val="A418A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BA4E18"/>
    <w:multiLevelType w:val="hybridMultilevel"/>
    <w:tmpl w:val="7B0A92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490052"/>
    <w:multiLevelType w:val="multilevel"/>
    <w:tmpl w:val="FC747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56C1DCB"/>
    <w:multiLevelType w:val="hybridMultilevel"/>
    <w:tmpl w:val="7B2E18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5926CC7"/>
    <w:multiLevelType w:val="hybridMultilevel"/>
    <w:tmpl w:val="BA4A1A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D13AE3"/>
    <w:multiLevelType w:val="multilevel"/>
    <w:tmpl w:val="8D628A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78BB0044"/>
    <w:multiLevelType w:val="hybridMultilevel"/>
    <w:tmpl w:val="8AC8BF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99346F7"/>
    <w:multiLevelType w:val="multilevel"/>
    <w:tmpl w:val="5490A51C"/>
    <w:lvl w:ilvl="0">
      <w:start w:val="1"/>
      <w:numFmt w:val="lowerRoman"/>
      <w:suff w:val="spac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637876916">
    <w:abstractNumId w:val="22"/>
  </w:num>
  <w:num w:numId="2" w16cid:durableId="1935933744">
    <w:abstractNumId w:val="33"/>
  </w:num>
  <w:num w:numId="3" w16cid:durableId="144585564">
    <w:abstractNumId w:val="7"/>
  </w:num>
  <w:num w:numId="4" w16cid:durableId="1554465884">
    <w:abstractNumId w:val="12"/>
  </w:num>
  <w:num w:numId="5" w16cid:durableId="1427188948">
    <w:abstractNumId w:val="20"/>
  </w:num>
  <w:num w:numId="6" w16cid:durableId="1454012820">
    <w:abstractNumId w:val="1"/>
  </w:num>
  <w:num w:numId="7" w16cid:durableId="681132525">
    <w:abstractNumId w:val="21"/>
  </w:num>
  <w:num w:numId="8" w16cid:durableId="558904054">
    <w:abstractNumId w:val="24"/>
  </w:num>
  <w:num w:numId="9" w16cid:durableId="432163790">
    <w:abstractNumId w:val="37"/>
  </w:num>
  <w:num w:numId="10" w16cid:durableId="1706633733">
    <w:abstractNumId w:val="30"/>
  </w:num>
  <w:num w:numId="11" w16cid:durableId="67919906">
    <w:abstractNumId w:val="4"/>
  </w:num>
  <w:num w:numId="12" w16cid:durableId="1620334887">
    <w:abstractNumId w:val="26"/>
  </w:num>
  <w:num w:numId="13" w16cid:durableId="291521858">
    <w:abstractNumId w:val="2"/>
  </w:num>
  <w:num w:numId="14" w16cid:durableId="648246371">
    <w:abstractNumId w:val="27"/>
  </w:num>
  <w:num w:numId="15" w16cid:durableId="1033993450">
    <w:abstractNumId w:val="32"/>
  </w:num>
  <w:num w:numId="16" w16cid:durableId="2121099390">
    <w:abstractNumId w:val="10"/>
  </w:num>
  <w:num w:numId="17" w16cid:durableId="424233625">
    <w:abstractNumId w:val="29"/>
  </w:num>
  <w:num w:numId="18" w16cid:durableId="1955477397">
    <w:abstractNumId w:val="28"/>
  </w:num>
  <w:num w:numId="19" w16cid:durableId="701906619">
    <w:abstractNumId w:val="5"/>
  </w:num>
  <w:num w:numId="20" w16cid:durableId="1858690931">
    <w:abstractNumId w:val="13"/>
  </w:num>
  <w:num w:numId="21" w16cid:durableId="1653488007">
    <w:abstractNumId w:val="35"/>
  </w:num>
  <w:num w:numId="22" w16cid:durableId="822962614">
    <w:abstractNumId w:val="15"/>
  </w:num>
  <w:num w:numId="23" w16cid:durableId="685446179">
    <w:abstractNumId w:val="16"/>
  </w:num>
  <w:num w:numId="24" w16cid:durableId="128595749">
    <w:abstractNumId w:val="18"/>
  </w:num>
  <w:num w:numId="25" w16cid:durableId="1623147071">
    <w:abstractNumId w:val="6"/>
  </w:num>
  <w:num w:numId="26" w16cid:durableId="528375885">
    <w:abstractNumId w:val="8"/>
  </w:num>
  <w:num w:numId="27" w16cid:durableId="882981745">
    <w:abstractNumId w:val="36"/>
  </w:num>
  <w:num w:numId="28" w16cid:durableId="891186330">
    <w:abstractNumId w:val="0"/>
  </w:num>
  <w:num w:numId="29" w16cid:durableId="877156701">
    <w:abstractNumId w:val="17"/>
  </w:num>
  <w:num w:numId="30" w16cid:durableId="940065383">
    <w:abstractNumId w:val="25"/>
  </w:num>
  <w:num w:numId="31" w16cid:durableId="52051134">
    <w:abstractNumId w:val="14"/>
  </w:num>
  <w:num w:numId="32" w16cid:durableId="1413577841">
    <w:abstractNumId w:val="3"/>
  </w:num>
  <w:num w:numId="33" w16cid:durableId="376202249">
    <w:abstractNumId w:val="9"/>
  </w:num>
  <w:num w:numId="34" w16cid:durableId="491222198">
    <w:abstractNumId w:val="11"/>
  </w:num>
  <w:num w:numId="35" w16cid:durableId="2024670556">
    <w:abstractNumId w:val="31"/>
  </w:num>
  <w:num w:numId="36" w16cid:durableId="1177575933">
    <w:abstractNumId w:val="34"/>
  </w:num>
  <w:num w:numId="37" w16cid:durableId="1983844035">
    <w:abstractNumId w:val="38"/>
  </w:num>
  <w:num w:numId="38" w16cid:durableId="997613503">
    <w:abstractNumId w:val="19"/>
  </w:num>
  <w:num w:numId="39" w16cid:durableId="848565460">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C7"/>
    <w:rsid w:val="00015664"/>
    <w:rsid w:val="00017D07"/>
    <w:rsid w:val="00020A54"/>
    <w:rsid w:val="00021CD4"/>
    <w:rsid w:val="00025313"/>
    <w:rsid w:val="00027569"/>
    <w:rsid w:val="00031E49"/>
    <w:rsid w:val="00036EAE"/>
    <w:rsid w:val="000377BA"/>
    <w:rsid w:val="000378BC"/>
    <w:rsid w:val="000433F3"/>
    <w:rsid w:val="00044E8E"/>
    <w:rsid w:val="000462A6"/>
    <w:rsid w:val="00047234"/>
    <w:rsid w:val="00054A7E"/>
    <w:rsid w:val="00055D32"/>
    <w:rsid w:val="00060D3A"/>
    <w:rsid w:val="00067B5C"/>
    <w:rsid w:val="000700C1"/>
    <w:rsid w:val="00072356"/>
    <w:rsid w:val="00075AA6"/>
    <w:rsid w:val="00076663"/>
    <w:rsid w:val="000870BD"/>
    <w:rsid w:val="00094BC1"/>
    <w:rsid w:val="000974B3"/>
    <w:rsid w:val="000A0E53"/>
    <w:rsid w:val="000A600D"/>
    <w:rsid w:val="000B5A2B"/>
    <w:rsid w:val="000C49C7"/>
    <w:rsid w:val="000D4191"/>
    <w:rsid w:val="000D6E34"/>
    <w:rsid w:val="000E460B"/>
    <w:rsid w:val="000F0D74"/>
    <w:rsid w:val="000F10DE"/>
    <w:rsid w:val="000F17A6"/>
    <w:rsid w:val="000F5B34"/>
    <w:rsid w:val="000F6333"/>
    <w:rsid w:val="00101E08"/>
    <w:rsid w:val="001040D7"/>
    <w:rsid w:val="001104FE"/>
    <w:rsid w:val="00112851"/>
    <w:rsid w:val="00116726"/>
    <w:rsid w:val="00117317"/>
    <w:rsid w:val="0012303F"/>
    <w:rsid w:val="0012615F"/>
    <w:rsid w:val="00132B1A"/>
    <w:rsid w:val="001378FF"/>
    <w:rsid w:val="0014392B"/>
    <w:rsid w:val="00145C43"/>
    <w:rsid w:val="001530BA"/>
    <w:rsid w:val="00154E72"/>
    <w:rsid w:val="0016069F"/>
    <w:rsid w:val="0016108D"/>
    <w:rsid w:val="001619EB"/>
    <w:rsid w:val="0016387C"/>
    <w:rsid w:val="0016780C"/>
    <w:rsid w:val="00171AAD"/>
    <w:rsid w:val="00176207"/>
    <w:rsid w:val="00176A57"/>
    <w:rsid w:val="001810F6"/>
    <w:rsid w:val="00182A95"/>
    <w:rsid w:val="00186957"/>
    <w:rsid w:val="00190FB4"/>
    <w:rsid w:val="0019191E"/>
    <w:rsid w:val="00197A3D"/>
    <w:rsid w:val="001A198D"/>
    <w:rsid w:val="001A461C"/>
    <w:rsid w:val="001A5115"/>
    <w:rsid w:val="001B419A"/>
    <w:rsid w:val="001B4CEF"/>
    <w:rsid w:val="001C3146"/>
    <w:rsid w:val="001C5225"/>
    <w:rsid w:val="001D2FD2"/>
    <w:rsid w:val="001D3DDD"/>
    <w:rsid w:val="001E3198"/>
    <w:rsid w:val="001E4F01"/>
    <w:rsid w:val="001F11B7"/>
    <w:rsid w:val="001F2EFE"/>
    <w:rsid w:val="001F423D"/>
    <w:rsid w:val="00202609"/>
    <w:rsid w:val="00203784"/>
    <w:rsid w:val="00215643"/>
    <w:rsid w:val="0022407F"/>
    <w:rsid w:val="00234A51"/>
    <w:rsid w:val="002364FB"/>
    <w:rsid w:val="00240D69"/>
    <w:rsid w:val="00254AA4"/>
    <w:rsid w:val="0025657B"/>
    <w:rsid w:val="00263C14"/>
    <w:rsid w:val="00265CFE"/>
    <w:rsid w:val="0026611A"/>
    <w:rsid w:val="00266A0C"/>
    <w:rsid w:val="00271E93"/>
    <w:rsid w:val="0028293D"/>
    <w:rsid w:val="00291470"/>
    <w:rsid w:val="0029343A"/>
    <w:rsid w:val="00293FFD"/>
    <w:rsid w:val="00294BC1"/>
    <w:rsid w:val="00296A39"/>
    <w:rsid w:val="002B13D3"/>
    <w:rsid w:val="002B1F40"/>
    <w:rsid w:val="002B314C"/>
    <w:rsid w:val="002B36EF"/>
    <w:rsid w:val="002C2AEC"/>
    <w:rsid w:val="002C3723"/>
    <w:rsid w:val="002C66AC"/>
    <w:rsid w:val="002D2E3B"/>
    <w:rsid w:val="002D43E1"/>
    <w:rsid w:val="002D69DC"/>
    <w:rsid w:val="002E3D3C"/>
    <w:rsid w:val="002F0560"/>
    <w:rsid w:val="002F60D5"/>
    <w:rsid w:val="002F6516"/>
    <w:rsid w:val="003013D3"/>
    <w:rsid w:val="0031290A"/>
    <w:rsid w:val="003133B1"/>
    <w:rsid w:val="00322584"/>
    <w:rsid w:val="00333B47"/>
    <w:rsid w:val="00341942"/>
    <w:rsid w:val="00342E37"/>
    <w:rsid w:val="0035515F"/>
    <w:rsid w:val="00357ED2"/>
    <w:rsid w:val="0036176B"/>
    <w:rsid w:val="00361789"/>
    <w:rsid w:val="00367E75"/>
    <w:rsid w:val="00376825"/>
    <w:rsid w:val="00382778"/>
    <w:rsid w:val="00382ECE"/>
    <w:rsid w:val="003864B0"/>
    <w:rsid w:val="0038721E"/>
    <w:rsid w:val="003A7701"/>
    <w:rsid w:val="003B1940"/>
    <w:rsid w:val="003B22CB"/>
    <w:rsid w:val="003B738E"/>
    <w:rsid w:val="003C0350"/>
    <w:rsid w:val="003C1B51"/>
    <w:rsid w:val="003D163F"/>
    <w:rsid w:val="003E3D8E"/>
    <w:rsid w:val="004013E1"/>
    <w:rsid w:val="00402850"/>
    <w:rsid w:val="004060A5"/>
    <w:rsid w:val="004125F1"/>
    <w:rsid w:val="00412DE5"/>
    <w:rsid w:val="00415415"/>
    <w:rsid w:val="00423A7C"/>
    <w:rsid w:val="00423E5D"/>
    <w:rsid w:val="00427C1A"/>
    <w:rsid w:val="00433F8D"/>
    <w:rsid w:val="00434DA4"/>
    <w:rsid w:val="00436A13"/>
    <w:rsid w:val="004401A1"/>
    <w:rsid w:val="004423C4"/>
    <w:rsid w:val="004538BD"/>
    <w:rsid w:val="004553A6"/>
    <w:rsid w:val="00455D81"/>
    <w:rsid w:val="0046090E"/>
    <w:rsid w:val="0046400E"/>
    <w:rsid w:val="004640F4"/>
    <w:rsid w:val="00471D3D"/>
    <w:rsid w:val="00471F88"/>
    <w:rsid w:val="00472C98"/>
    <w:rsid w:val="00482EC1"/>
    <w:rsid w:val="00490027"/>
    <w:rsid w:val="004943FD"/>
    <w:rsid w:val="004956AB"/>
    <w:rsid w:val="00497483"/>
    <w:rsid w:val="004A6B66"/>
    <w:rsid w:val="004B0B17"/>
    <w:rsid w:val="004B227F"/>
    <w:rsid w:val="004B3A0D"/>
    <w:rsid w:val="004B7705"/>
    <w:rsid w:val="004C3E4A"/>
    <w:rsid w:val="004E5895"/>
    <w:rsid w:val="004E6664"/>
    <w:rsid w:val="004E7406"/>
    <w:rsid w:val="004F0225"/>
    <w:rsid w:val="00506EAD"/>
    <w:rsid w:val="00507CE0"/>
    <w:rsid w:val="00513C7D"/>
    <w:rsid w:val="00517D32"/>
    <w:rsid w:val="0052024E"/>
    <w:rsid w:val="00523C25"/>
    <w:rsid w:val="00534459"/>
    <w:rsid w:val="00540173"/>
    <w:rsid w:val="00542361"/>
    <w:rsid w:val="00552071"/>
    <w:rsid w:val="00555A05"/>
    <w:rsid w:val="005649CA"/>
    <w:rsid w:val="00564AFF"/>
    <w:rsid w:val="00566693"/>
    <w:rsid w:val="00571026"/>
    <w:rsid w:val="0057580C"/>
    <w:rsid w:val="00575E55"/>
    <w:rsid w:val="00580EFB"/>
    <w:rsid w:val="005814DD"/>
    <w:rsid w:val="00583122"/>
    <w:rsid w:val="00591F6C"/>
    <w:rsid w:val="00591FB2"/>
    <w:rsid w:val="00594216"/>
    <w:rsid w:val="0059549A"/>
    <w:rsid w:val="0059658F"/>
    <w:rsid w:val="005A0871"/>
    <w:rsid w:val="005A4A00"/>
    <w:rsid w:val="005B0D6C"/>
    <w:rsid w:val="005B4FFC"/>
    <w:rsid w:val="005C0D36"/>
    <w:rsid w:val="005C1B78"/>
    <w:rsid w:val="005C4A6F"/>
    <w:rsid w:val="005D0555"/>
    <w:rsid w:val="005D2FC0"/>
    <w:rsid w:val="005E309D"/>
    <w:rsid w:val="005E6FBE"/>
    <w:rsid w:val="005F117D"/>
    <w:rsid w:val="006000C1"/>
    <w:rsid w:val="00602BEB"/>
    <w:rsid w:val="0060303F"/>
    <w:rsid w:val="0060565F"/>
    <w:rsid w:val="0061062B"/>
    <w:rsid w:val="0061097A"/>
    <w:rsid w:val="0061763B"/>
    <w:rsid w:val="00617848"/>
    <w:rsid w:val="00617A99"/>
    <w:rsid w:val="006238FF"/>
    <w:rsid w:val="00627052"/>
    <w:rsid w:val="006274D0"/>
    <w:rsid w:val="00631866"/>
    <w:rsid w:val="00640FDF"/>
    <w:rsid w:val="00654EBC"/>
    <w:rsid w:val="00657377"/>
    <w:rsid w:val="00662406"/>
    <w:rsid w:val="00662D69"/>
    <w:rsid w:val="006654BE"/>
    <w:rsid w:val="00674E74"/>
    <w:rsid w:val="006770C6"/>
    <w:rsid w:val="00681213"/>
    <w:rsid w:val="006817F3"/>
    <w:rsid w:val="0069636D"/>
    <w:rsid w:val="006964E1"/>
    <w:rsid w:val="006A408F"/>
    <w:rsid w:val="006C78B4"/>
    <w:rsid w:val="006D1819"/>
    <w:rsid w:val="006D6AFD"/>
    <w:rsid w:val="006E3B1B"/>
    <w:rsid w:val="006F1942"/>
    <w:rsid w:val="00701365"/>
    <w:rsid w:val="00702637"/>
    <w:rsid w:val="0070732B"/>
    <w:rsid w:val="007129AA"/>
    <w:rsid w:val="0071629C"/>
    <w:rsid w:val="00720BE2"/>
    <w:rsid w:val="00722788"/>
    <w:rsid w:val="00730E1E"/>
    <w:rsid w:val="0073529F"/>
    <w:rsid w:val="007359C0"/>
    <w:rsid w:val="007412C7"/>
    <w:rsid w:val="00742C71"/>
    <w:rsid w:val="00750F61"/>
    <w:rsid w:val="00753206"/>
    <w:rsid w:val="00754895"/>
    <w:rsid w:val="007560E1"/>
    <w:rsid w:val="00756B6B"/>
    <w:rsid w:val="00764BED"/>
    <w:rsid w:val="00766F1A"/>
    <w:rsid w:val="007676F4"/>
    <w:rsid w:val="00777477"/>
    <w:rsid w:val="00782CC2"/>
    <w:rsid w:val="007843B9"/>
    <w:rsid w:val="0079287A"/>
    <w:rsid w:val="007949B3"/>
    <w:rsid w:val="007A48FF"/>
    <w:rsid w:val="007A52CC"/>
    <w:rsid w:val="007A5B7E"/>
    <w:rsid w:val="007C19CC"/>
    <w:rsid w:val="007C6AAD"/>
    <w:rsid w:val="007D5FBD"/>
    <w:rsid w:val="007E00DD"/>
    <w:rsid w:val="007E061A"/>
    <w:rsid w:val="007E197A"/>
    <w:rsid w:val="007F6CD1"/>
    <w:rsid w:val="00812480"/>
    <w:rsid w:val="008151EF"/>
    <w:rsid w:val="008212FC"/>
    <w:rsid w:val="008241C1"/>
    <w:rsid w:val="008257A6"/>
    <w:rsid w:val="00830B48"/>
    <w:rsid w:val="008312B0"/>
    <w:rsid w:val="00831C29"/>
    <w:rsid w:val="00836CD4"/>
    <w:rsid w:val="008374BD"/>
    <w:rsid w:val="0084284C"/>
    <w:rsid w:val="00843E1D"/>
    <w:rsid w:val="00846598"/>
    <w:rsid w:val="00864E3D"/>
    <w:rsid w:val="00877A70"/>
    <w:rsid w:val="00880941"/>
    <w:rsid w:val="00892146"/>
    <w:rsid w:val="00894C52"/>
    <w:rsid w:val="008A12A2"/>
    <w:rsid w:val="008A27D0"/>
    <w:rsid w:val="008A33E8"/>
    <w:rsid w:val="008C1D2A"/>
    <w:rsid w:val="008C6A5E"/>
    <w:rsid w:val="008D030E"/>
    <w:rsid w:val="008D1487"/>
    <w:rsid w:val="008D7694"/>
    <w:rsid w:val="008E142F"/>
    <w:rsid w:val="008E770C"/>
    <w:rsid w:val="008F2297"/>
    <w:rsid w:val="00901952"/>
    <w:rsid w:val="00903818"/>
    <w:rsid w:val="00904B6B"/>
    <w:rsid w:val="009076A6"/>
    <w:rsid w:val="00914632"/>
    <w:rsid w:val="009179D0"/>
    <w:rsid w:val="009252C9"/>
    <w:rsid w:val="009318FE"/>
    <w:rsid w:val="00934B57"/>
    <w:rsid w:val="009371D9"/>
    <w:rsid w:val="00940B5A"/>
    <w:rsid w:val="00942686"/>
    <w:rsid w:val="00942916"/>
    <w:rsid w:val="00951D08"/>
    <w:rsid w:val="00952ECB"/>
    <w:rsid w:val="00955598"/>
    <w:rsid w:val="00955A2B"/>
    <w:rsid w:val="00966084"/>
    <w:rsid w:val="00970D53"/>
    <w:rsid w:val="00981719"/>
    <w:rsid w:val="00985878"/>
    <w:rsid w:val="00990111"/>
    <w:rsid w:val="00991118"/>
    <w:rsid w:val="009972A8"/>
    <w:rsid w:val="00997B18"/>
    <w:rsid w:val="009A639D"/>
    <w:rsid w:val="009A6424"/>
    <w:rsid w:val="009A733A"/>
    <w:rsid w:val="009B0273"/>
    <w:rsid w:val="009B4655"/>
    <w:rsid w:val="009B517D"/>
    <w:rsid w:val="009C60AE"/>
    <w:rsid w:val="009C733B"/>
    <w:rsid w:val="009C7381"/>
    <w:rsid w:val="009C7799"/>
    <w:rsid w:val="009D2C2F"/>
    <w:rsid w:val="009D4AE6"/>
    <w:rsid w:val="009D5727"/>
    <w:rsid w:val="009D5FC6"/>
    <w:rsid w:val="009F12D1"/>
    <w:rsid w:val="009F144B"/>
    <w:rsid w:val="009F25FD"/>
    <w:rsid w:val="00A00112"/>
    <w:rsid w:val="00A01CC7"/>
    <w:rsid w:val="00A072D2"/>
    <w:rsid w:val="00A16AC9"/>
    <w:rsid w:val="00A200E2"/>
    <w:rsid w:val="00A23E8E"/>
    <w:rsid w:val="00A268F5"/>
    <w:rsid w:val="00A3485D"/>
    <w:rsid w:val="00A34DB2"/>
    <w:rsid w:val="00A36533"/>
    <w:rsid w:val="00A44DFC"/>
    <w:rsid w:val="00A45AFF"/>
    <w:rsid w:val="00A4680A"/>
    <w:rsid w:val="00A609E6"/>
    <w:rsid w:val="00A620B4"/>
    <w:rsid w:val="00A66071"/>
    <w:rsid w:val="00A67D08"/>
    <w:rsid w:val="00A73CD1"/>
    <w:rsid w:val="00A7644C"/>
    <w:rsid w:val="00A77B9A"/>
    <w:rsid w:val="00A86406"/>
    <w:rsid w:val="00A864E6"/>
    <w:rsid w:val="00A86871"/>
    <w:rsid w:val="00A900B9"/>
    <w:rsid w:val="00A91FB7"/>
    <w:rsid w:val="00A954A2"/>
    <w:rsid w:val="00AA4595"/>
    <w:rsid w:val="00AA5701"/>
    <w:rsid w:val="00AB0F4B"/>
    <w:rsid w:val="00AB2E0D"/>
    <w:rsid w:val="00AC236F"/>
    <w:rsid w:val="00AC3C7A"/>
    <w:rsid w:val="00AC406C"/>
    <w:rsid w:val="00AC55FF"/>
    <w:rsid w:val="00AD0ABC"/>
    <w:rsid w:val="00AE11B3"/>
    <w:rsid w:val="00AE2C46"/>
    <w:rsid w:val="00AF2AC1"/>
    <w:rsid w:val="00AF3AB7"/>
    <w:rsid w:val="00AF4A94"/>
    <w:rsid w:val="00AF643F"/>
    <w:rsid w:val="00B01020"/>
    <w:rsid w:val="00B0334D"/>
    <w:rsid w:val="00B1237A"/>
    <w:rsid w:val="00B1428E"/>
    <w:rsid w:val="00B1484F"/>
    <w:rsid w:val="00B20024"/>
    <w:rsid w:val="00B22FCA"/>
    <w:rsid w:val="00B23D17"/>
    <w:rsid w:val="00B334FB"/>
    <w:rsid w:val="00B33528"/>
    <w:rsid w:val="00B4073A"/>
    <w:rsid w:val="00B42410"/>
    <w:rsid w:val="00B43322"/>
    <w:rsid w:val="00B43F4D"/>
    <w:rsid w:val="00B445B9"/>
    <w:rsid w:val="00B47AFB"/>
    <w:rsid w:val="00B55057"/>
    <w:rsid w:val="00B56100"/>
    <w:rsid w:val="00B72DFE"/>
    <w:rsid w:val="00B76B82"/>
    <w:rsid w:val="00B80CD3"/>
    <w:rsid w:val="00B83AA5"/>
    <w:rsid w:val="00B905CC"/>
    <w:rsid w:val="00B94F34"/>
    <w:rsid w:val="00B967DB"/>
    <w:rsid w:val="00BA28B5"/>
    <w:rsid w:val="00BA3CC2"/>
    <w:rsid w:val="00BB4B81"/>
    <w:rsid w:val="00BB55AB"/>
    <w:rsid w:val="00BB7D11"/>
    <w:rsid w:val="00BD2EA9"/>
    <w:rsid w:val="00BD3FE9"/>
    <w:rsid w:val="00BE06DC"/>
    <w:rsid w:val="00BE1A5C"/>
    <w:rsid w:val="00BE2018"/>
    <w:rsid w:val="00BF01AD"/>
    <w:rsid w:val="00BF446D"/>
    <w:rsid w:val="00C004BA"/>
    <w:rsid w:val="00C0315C"/>
    <w:rsid w:val="00C04BC7"/>
    <w:rsid w:val="00C147DB"/>
    <w:rsid w:val="00C22D0F"/>
    <w:rsid w:val="00C234D6"/>
    <w:rsid w:val="00C26A1D"/>
    <w:rsid w:val="00C31924"/>
    <w:rsid w:val="00C32FA9"/>
    <w:rsid w:val="00C438DB"/>
    <w:rsid w:val="00C43C2C"/>
    <w:rsid w:val="00C44829"/>
    <w:rsid w:val="00C5648C"/>
    <w:rsid w:val="00C62AED"/>
    <w:rsid w:val="00C6446E"/>
    <w:rsid w:val="00C645DE"/>
    <w:rsid w:val="00C65413"/>
    <w:rsid w:val="00C65C0C"/>
    <w:rsid w:val="00C70EBE"/>
    <w:rsid w:val="00C73B94"/>
    <w:rsid w:val="00C755C3"/>
    <w:rsid w:val="00C82EF2"/>
    <w:rsid w:val="00C90566"/>
    <w:rsid w:val="00C93488"/>
    <w:rsid w:val="00CA7620"/>
    <w:rsid w:val="00CB47D4"/>
    <w:rsid w:val="00CB611E"/>
    <w:rsid w:val="00CC0F64"/>
    <w:rsid w:val="00CC4C57"/>
    <w:rsid w:val="00CC605B"/>
    <w:rsid w:val="00CD0136"/>
    <w:rsid w:val="00CD589F"/>
    <w:rsid w:val="00CD7487"/>
    <w:rsid w:val="00CE0459"/>
    <w:rsid w:val="00CE3B7C"/>
    <w:rsid w:val="00CF4131"/>
    <w:rsid w:val="00CF676D"/>
    <w:rsid w:val="00D06527"/>
    <w:rsid w:val="00D07415"/>
    <w:rsid w:val="00D13B8C"/>
    <w:rsid w:val="00D13C7F"/>
    <w:rsid w:val="00D252DB"/>
    <w:rsid w:val="00D25C19"/>
    <w:rsid w:val="00D26468"/>
    <w:rsid w:val="00D35969"/>
    <w:rsid w:val="00D36749"/>
    <w:rsid w:val="00D37BE4"/>
    <w:rsid w:val="00D40FAA"/>
    <w:rsid w:val="00D43E1D"/>
    <w:rsid w:val="00D55561"/>
    <w:rsid w:val="00D5588C"/>
    <w:rsid w:val="00D56141"/>
    <w:rsid w:val="00D6005C"/>
    <w:rsid w:val="00D66041"/>
    <w:rsid w:val="00D66578"/>
    <w:rsid w:val="00D72567"/>
    <w:rsid w:val="00D72892"/>
    <w:rsid w:val="00D72F2C"/>
    <w:rsid w:val="00D77FE5"/>
    <w:rsid w:val="00D9082A"/>
    <w:rsid w:val="00DB73B5"/>
    <w:rsid w:val="00DB7999"/>
    <w:rsid w:val="00DC35E3"/>
    <w:rsid w:val="00DC6FA7"/>
    <w:rsid w:val="00DD1E66"/>
    <w:rsid w:val="00DD4837"/>
    <w:rsid w:val="00DD7998"/>
    <w:rsid w:val="00DE1E73"/>
    <w:rsid w:val="00DE5833"/>
    <w:rsid w:val="00DE6763"/>
    <w:rsid w:val="00DF3789"/>
    <w:rsid w:val="00DF6D27"/>
    <w:rsid w:val="00DF6FCB"/>
    <w:rsid w:val="00E010B0"/>
    <w:rsid w:val="00E01CEC"/>
    <w:rsid w:val="00E031BE"/>
    <w:rsid w:val="00E066B0"/>
    <w:rsid w:val="00E10456"/>
    <w:rsid w:val="00E13937"/>
    <w:rsid w:val="00E20A69"/>
    <w:rsid w:val="00E20EF5"/>
    <w:rsid w:val="00E25D14"/>
    <w:rsid w:val="00E2656B"/>
    <w:rsid w:val="00E43AEB"/>
    <w:rsid w:val="00E70AC9"/>
    <w:rsid w:val="00E807B3"/>
    <w:rsid w:val="00E819D5"/>
    <w:rsid w:val="00E83A0E"/>
    <w:rsid w:val="00E96DD3"/>
    <w:rsid w:val="00EA0C1C"/>
    <w:rsid w:val="00EA6363"/>
    <w:rsid w:val="00EA69D6"/>
    <w:rsid w:val="00EB7AAF"/>
    <w:rsid w:val="00EC14EB"/>
    <w:rsid w:val="00ED2531"/>
    <w:rsid w:val="00ED529A"/>
    <w:rsid w:val="00ED5A28"/>
    <w:rsid w:val="00EE232F"/>
    <w:rsid w:val="00EE4D6F"/>
    <w:rsid w:val="00EE6C3D"/>
    <w:rsid w:val="00EF54F2"/>
    <w:rsid w:val="00F0729F"/>
    <w:rsid w:val="00F116EE"/>
    <w:rsid w:val="00F2514A"/>
    <w:rsid w:val="00F27382"/>
    <w:rsid w:val="00F310BE"/>
    <w:rsid w:val="00F372C7"/>
    <w:rsid w:val="00F43A10"/>
    <w:rsid w:val="00F55014"/>
    <w:rsid w:val="00F608E4"/>
    <w:rsid w:val="00F672E2"/>
    <w:rsid w:val="00F73ED9"/>
    <w:rsid w:val="00F81E47"/>
    <w:rsid w:val="00F820C9"/>
    <w:rsid w:val="00F82DDF"/>
    <w:rsid w:val="00F84707"/>
    <w:rsid w:val="00F8488A"/>
    <w:rsid w:val="00F85346"/>
    <w:rsid w:val="00F97C6F"/>
    <w:rsid w:val="00FA255B"/>
    <w:rsid w:val="00FA41EC"/>
    <w:rsid w:val="00FA7BEF"/>
    <w:rsid w:val="00FB047C"/>
    <w:rsid w:val="00FB2468"/>
    <w:rsid w:val="00FB5AB3"/>
    <w:rsid w:val="00FC48A7"/>
    <w:rsid w:val="00FC50B6"/>
    <w:rsid w:val="00FC7900"/>
    <w:rsid w:val="00FD0889"/>
    <w:rsid w:val="00FD27B9"/>
    <w:rsid w:val="00FD7419"/>
    <w:rsid w:val="00FE3820"/>
    <w:rsid w:val="00FF0D60"/>
    <w:rsid w:val="00FF6E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C2EF"/>
  <w15:docId w15:val="{AB4259F2-1F70-4622-BE5A-0E093517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20"/>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892146"/>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fr-FR"/>
    </w:rPr>
  </w:style>
  <w:style w:type="paragraph" w:styleId="Titre2">
    <w:name w:val="heading 2"/>
    <w:basedOn w:val="Normal"/>
    <w:next w:val="Normal"/>
    <w:link w:val="Titre2Car"/>
    <w:qFormat/>
    <w:rsid w:val="00555A05"/>
    <w:pPr>
      <w:keepNext/>
      <w:jc w:val="center"/>
      <w:outlineLvl w:val="1"/>
    </w:pPr>
    <w:rPr>
      <w:b/>
      <w:bCs/>
      <w:lang w:eastAsia="fr-FR"/>
    </w:rPr>
  </w:style>
  <w:style w:type="paragraph" w:styleId="Titre5">
    <w:name w:val="heading 5"/>
    <w:basedOn w:val="Normal"/>
    <w:next w:val="Normal"/>
    <w:link w:val="Titre5Car"/>
    <w:uiPriority w:val="9"/>
    <w:semiHidden/>
    <w:unhideWhenUsed/>
    <w:qFormat/>
    <w:rsid w:val="00985878"/>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rsid w:val="00F372C7"/>
  </w:style>
  <w:style w:type="paragraph" w:customStyle="1" w:styleId="BulletedLists">
    <w:name w:val="Bulleted Lists"/>
    <w:basedOn w:val="Normal"/>
    <w:rsid w:val="007560E1"/>
    <w:pPr>
      <w:tabs>
        <w:tab w:val="left" w:pos="1080"/>
      </w:tabs>
      <w:spacing w:after="48"/>
      <w:ind w:left="1080" w:hanging="360"/>
    </w:pPr>
    <w:rPr>
      <w:sz w:val="22"/>
      <w:szCs w:val="20"/>
      <w:lang w:val="en-US"/>
    </w:rPr>
  </w:style>
  <w:style w:type="paragraph" w:styleId="Paragraphedeliste">
    <w:name w:val="List Paragraph"/>
    <w:aliases w:val="References,Bullets"/>
    <w:basedOn w:val="Normal"/>
    <w:uiPriority w:val="34"/>
    <w:qFormat/>
    <w:rsid w:val="00901952"/>
    <w:pPr>
      <w:spacing w:after="200" w:line="276" w:lineRule="auto"/>
      <w:ind w:left="720"/>
      <w:contextualSpacing/>
    </w:pPr>
    <w:rPr>
      <w:rFonts w:ascii="Calibri" w:eastAsia="Calibri" w:hAnsi="Calibri"/>
      <w:sz w:val="22"/>
      <w:szCs w:val="22"/>
    </w:rPr>
  </w:style>
  <w:style w:type="character" w:customStyle="1" w:styleId="Titre2Car">
    <w:name w:val="Titre 2 Car"/>
    <w:basedOn w:val="Policepardfaut"/>
    <w:link w:val="Titre2"/>
    <w:rsid w:val="00555A05"/>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45C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5C43"/>
    <w:rPr>
      <w:rFonts w:ascii="Segoe UI" w:eastAsia="Times New Roman" w:hAnsi="Segoe UI" w:cs="Segoe UI"/>
      <w:sz w:val="18"/>
      <w:szCs w:val="18"/>
      <w:lang w:val="en-GB"/>
    </w:rPr>
  </w:style>
  <w:style w:type="paragraph" w:customStyle="1" w:styleId="Paragraphedeliste1">
    <w:name w:val="Paragraphe de liste1"/>
    <w:basedOn w:val="Normal"/>
    <w:link w:val="ParagraphedelisteCar"/>
    <w:autoRedefine/>
    <w:uiPriority w:val="34"/>
    <w:qFormat/>
    <w:rsid w:val="00AD0ABC"/>
    <w:pPr>
      <w:numPr>
        <w:numId w:val="14"/>
      </w:numPr>
      <w:jc w:val="both"/>
    </w:pPr>
  </w:style>
  <w:style w:type="character" w:customStyle="1" w:styleId="ParagraphedelisteCar">
    <w:name w:val="Paragraphe de liste Car"/>
    <w:aliases w:val="References Car,Bullets Car"/>
    <w:link w:val="Paragraphedeliste1"/>
    <w:uiPriority w:val="34"/>
    <w:rsid w:val="00AD0ABC"/>
    <w:rPr>
      <w:rFonts w:ascii="Times New Roman" w:eastAsia="Times New Roman" w:hAnsi="Times New Roman" w:cs="Times New Roman"/>
      <w:sz w:val="24"/>
      <w:szCs w:val="24"/>
    </w:rPr>
  </w:style>
  <w:style w:type="table" w:styleId="Grilledutableau">
    <w:name w:val="Table Grid"/>
    <w:basedOn w:val="TableauNormal"/>
    <w:uiPriority w:val="59"/>
    <w:rsid w:val="00AE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E6664"/>
    <w:pPr>
      <w:tabs>
        <w:tab w:val="center" w:pos="4536"/>
        <w:tab w:val="right" w:pos="9072"/>
      </w:tabs>
    </w:pPr>
  </w:style>
  <w:style w:type="character" w:customStyle="1" w:styleId="En-tteCar">
    <w:name w:val="En-tête Car"/>
    <w:basedOn w:val="Policepardfaut"/>
    <w:link w:val="En-tte"/>
    <w:uiPriority w:val="99"/>
    <w:rsid w:val="004E6664"/>
    <w:rPr>
      <w:rFonts w:ascii="Times New Roman" w:eastAsia="Times New Roman" w:hAnsi="Times New Roman" w:cs="Times New Roman"/>
      <w:sz w:val="24"/>
      <w:szCs w:val="24"/>
      <w:lang w:val="en-GB"/>
    </w:rPr>
  </w:style>
  <w:style w:type="paragraph" w:styleId="Pieddepage">
    <w:name w:val="footer"/>
    <w:basedOn w:val="Normal"/>
    <w:link w:val="PieddepageCar"/>
    <w:uiPriority w:val="99"/>
    <w:unhideWhenUsed/>
    <w:rsid w:val="004E6664"/>
    <w:pPr>
      <w:tabs>
        <w:tab w:val="center" w:pos="4536"/>
        <w:tab w:val="right" w:pos="9072"/>
      </w:tabs>
    </w:pPr>
  </w:style>
  <w:style w:type="character" w:customStyle="1" w:styleId="PieddepageCar">
    <w:name w:val="Pied de page Car"/>
    <w:basedOn w:val="Policepardfaut"/>
    <w:link w:val="Pieddepage"/>
    <w:uiPriority w:val="99"/>
    <w:rsid w:val="004E6664"/>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076663"/>
    <w:rPr>
      <w:color w:val="0000FF" w:themeColor="hyperlink"/>
      <w:u w:val="single"/>
    </w:rPr>
  </w:style>
  <w:style w:type="paragraph" w:customStyle="1" w:styleId="Default">
    <w:name w:val="Default"/>
    <w:rsid w:val="00575E55"/>
    <w:pPr>
      <w:autoSpaceDE w:val="0"/>
      <w:autoSpaceDN w:val="0"/>
      <w:adjustRightInd w:val="0"/>
      <w:spacing w:after="0" w:line="240" w:lineRule="auto"/>
    </w:pPr>
    <w:rPr>
      <w:rFonts w:ascii="Calibri" w:eastAsiaTheme="minorEastAsia" w:hAnsi="Calibri" w:cs="Calibri"/>
      <w:color w:val="000000"/>
      <w:sz w:val="24"/>
      <w:szCs w:val="24"/>
      <w:lang w:eastAsia="fr-FR"/>
    </w:rPr>
  </w:style>
  <w:style w:type="paragraph" w:styleId="PrformatHTML">
    <w:name w:val="HTML Preformatted"/>
    <w:basedOn w:val="Normal"/>
    <w:link w:val="PrformatHTMLCar"/>
    <w:uiPriority w:val="99"/>
    <w:unhideWhenUsed/>
    <w:rsid w:val="008C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8C6A5E"/>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892146"/>
    <w:rPr>
      <w:rFonts w:asciiTheme="majorHAnsi" w:eastAsiaTheme="majorEastAsia" w:hAnsiTheme="majorHAnsi" w:cstheme="majorBidi"/>
      <w:color w:val="365F91" w:themeColor="accent1" w:themeShade="BF"/>
      <w:sz w:val="32"/>
      <w:szCs w:val="32"/>
      <w:lang w:val="en-US" w:eastAsia="fr-FR"/>
    </w:rPr>
  </w:style>
  <w:style w:type="paragraph" w:styleId="Rvision">
    <w:name w:val="Revision"/>
    <w:hidden/>
    <w:uiPriority w:val="99"/>
    <w:semiHidden/>
    <w:rsid w:val="00836CD4"/>
    <w:pPr>
      <w:spacing w:after="0"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semiHidden/>
    <w:rsid w:val="00985878"/>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737">
      <w:bodyDiv w:val="1"/>
      <w:marLeft w:val="0"/>
      <w:marRight w:val="0"/>
      <w:marTop w:val="0"/>
      <w:marBottom w:val="0"/>
      <w:divBdr>
        <w:top w:val="none" w:sz="0" w:space="0" w:color="auto"/>
        <w:left w:val="none" w:sz="0" w:space="0" w:color="auto"/>
        <w:bottom w:val="none" w:sz="0" w:space="0" w:color="auto"/>
        <w:right w:val="none" w:sz="0" w:space="0" w:color="auto"/>
      </w:divBdr>
    </w:div>
    <w:div w:id="175583257">
      <w:bodyDiv w:val="1"/>
      <w:marLeft w:val="0"/>
      <w:marRight w:val="0"/>
      <w:marTop w:val="0"/>
      <w:marBottom w:val="0"/>
      <w:divBdr>
        <w:top w:val="none" w:sz="0" w:space="0" w:color="auto"/>
        <w:left w:val="none" w:sz="0" w:space="0" w:color="auto"/>
        <w:bottom w:val="none" w:sz="0" w:space="0" w:color="auto"/>
        <w:right w:val="none" w:sz="0" w:space="0" w:color="auto"/>
      </w:divBdr>
    </w:div>
    <w:div w:id="267200972">
      <w:bodyDiv w:val="1"/>
      <w:marLeft w:val="0"/>
      <w:marRight w:val="0"/>
      <w:marTop w:val="0"/>
      <w:marBottom w:val="0"/>
      <w:divBdr>
        <w:top w:val="none" w:sz="0" w:space="0" w:color="auto"/>
        <w:left w:val="none" w:sz="0" w:space="0" w:color="auto"/>
        <w:bottom w:val="none" w:sz="0" w:space="0" w:color="auto"/>
        <w:right w:val="none" w:sz="0" w:space="0" w:color="auto"/>
      </w:divBdr>
    </w:div>
    <w:div w:id="395786076">
      <w:bodyDiv w:val="1"/>
      <w:marLeft w:val="0"/>
      <w:marRight w:val="0"/>
      <w:marTop w:val="0"/>
      <w:marBottom w:val="0"/>
      <w:divBdr>
        <w:top w:val="none" w:sz="0" w:space="0" w:color="auto"/>
        <w:left w:val="none" w:sz="0" w:space="0" w:color="auto"/>
        <w:bottom w:val="none" w:sz="0" w:space="0" w:color="auto"/>
        <w:right w:val="none" w:sz="0" w:space="0" w:color="auto"/>
      </w:divBdr>
      <w:divsChild>
        <w:div w:id="428357251">
          <w:marLeft w:val="0"/>
          <w:marRight w:val="0"/>
          <w:marTop w:val="0"/>
          <w:marBottom w:val="0"/>
          <w:divBdr>
            <w:top w:val="none" w:sz="0" w:space="0" w:color="auto"/>
            <w:left w:val="none" w:sz="0" w:space="0" w:color="auto"/>
            <w:bottom w:val="none" w:sz="0" w:space="0" w:color="auto"/>
            <w:right w:val="none" w:sz="0" w:space="0" w:color="auto"/>
          </w:divBdr>
        </w:div>
        <w:div w:id="32002428">
          <w:marLeft w:val="0"/>
          <w:marRight w:val="0"/>
          <w:marTop w:val="0"/>
          <w:marBottom w:val="0"/>
          <w:divBdr>
            <w:top w:val="none" w:sz="0" w:space="0" w:color="auto"/>
            <w:left w:val="none" w:sz="0" w:space="0" w:color="auto"/>
            <w:bottom w:val="none" w:sz="0" w:space="0" w:color="auto"/>
            <w:right w:val="none" w:sz="0" w:space="0" w:color="auto"/>
          </w:divBdr>
        </w:div>
      </w:divsChild>
    </w:div>
    <w:div w:id="602960901">
      <w:bodyDiv w:val="1"/>
      <w:marLeft w:val="0"/>
      <w:marRight w:val="0"/>
      <w:marTop w:val="0"/>
      <w:marBottom w:val="0"/>
      <w:divBdr>
        <w:top w:val="none" w:sz="0" w:space="0" w:color="auto"/>
        <w:left w:val="none" w:sz="0" w:space="0" w:color="auto"/>
        <w:bottom w:val="none" w:sz="0" w:space="0" w:color="auto"/>
        <w:right w:val="none" w:sz="0" w:space="0" w:color="auto"/>
      </w:divBdr>
    </w:div>
    <w:div w:id="1053575186">
      <w:bodyDiv w:val="1"/>
      <w:marLeft w:val="0"/>
      <w:marRight w:val="0"/>
      <w:marTop w:val="0"/>
      <w:marBottom w:val="0"/>
      <w:divBdr>
        <w:top w:val="none" w:sz="0" w:space="0" w:color="auto"/>
        <w:left w:val="none" w:sz="0" w:space="0" w:color="auto"/>
        <w:bottom w:val="none" w:sz="0" w:space="0" w:color="auto"/>
        <w:right w:val="none" w:sz="0" w:space="0" w:color="auto"/>
      </w:divBdr>
    </w:div>
    <w:div w:id="1323242749">
      <w:bodyDiv w:val="1"/>
      <w:marLeft w:val="0"/>
      <w:marRight w:val="0"/>
      <w:marTop w:val="0"/>
      <w:marBottom w:val="0"/>
      <w:divBdr>
        <w:top w:val="none" w:sz="0" w:space="0" w:color="auto"/>
        <w:left w:val="none" w:sz="0" w:space="0" w:color="auto"/>
        <w:bottom w:val="none" w:sz="0" w:space="0" w:color="auto"/>
        <w:right w:val="none" w:sz="0" w:space="0" w:color="auto"/>
      </w:divBdr>
      <w:divsChild>
        <w:div w:id="1667172801">
          <w:marLeft w:val="0"/>
          <w:marRight w:val="0"/>
          <w:marTop w:val="0"/>
          <w:marBottom w:val="0"/>
          <w:divBdr>
            <w:top w:val="none" w:sz="0" w:space="0" w:color="auto"/>
            <w:left w:val="none" w:sz="0" w:space="0" w:color="auto"/>
            <w:bottom w:val="none" w:sz="0" w:space="0" w:color="auto"/>
            <w:right w:val="none" w:sz="0" w:space="0" w:color="auto"/>
          </w:divBdr>
          <w:divsChild>
            <w:div w:id="691220777">
              <w:marLeft w:val="0"/>
              <w:marRight w:val="0"/>
              <w:marTop w:val="0"/>
              <w:marBottom w:val="0"/>
              <w:divBdr>
                <w:top w:val="none" w:sz="0" w:space="0" w:color="auto"/>
                <w:left w:val="none" w:sz="0" w:space="0" w:color="auto"/>
                <w:bottom w:val="none" w:sz="0" w:space="0" w:color="auto"/>
                <w:right w:val="none" w:sz="0" w:space="0" w:color="auto"/>
              </w:divBdr>
            </w:div>
            <w:div w:id="2072385268">
              <w:marLeft w:val="0"/>
              <w:marRight w:val="0"/>
              <w:marTop w:val="0"/>
              <w:marBottom w:val="0"/>
              <w:divBdr>
                <w:top w:val="none" w:sz="0" w:space="0" w:color="auto"/>
                <w:left w:val="none" w:sz="0" w:space="0" w:color="auto"/>
                <w:bottom w:val="none" w:sz="0" w:space="0" w:color="auto"/>
                <w:right w:val="none" w:sz="0" w:space="0" w:color="auto"/>
              </w:divBdr>
            </w:div>
            <w:div w:id="794300959">
              <w:marLeft w:val="0"/>
              <w:marRight w:val="0"/>
              <w:marTop w:val="0"/>
              <w:marBottom w:val="0"/>
              <w:divBdr>
                <w:top w:val="none" w:sz="0" w:space="0" w:color="auto"/>
                <w:left w:val="none" w:sz="0" w:space="0" w:color="auto"/>
                <w:bottom w:val="none" w:sz="0" w:space="0" w:color="auto"/>
                <w:right w:val="none" w:sz="0" w:space="0" w:color="auto"/>
              </w:divBdr>
            </w:div>
            <w:div w:id="927269128">
              <w:marLeft w:val="0"/>
              <w:marRight w:val="0"/>
              <w:marTop w:val="0"/>
              <w:marBottom w:val="0"/>
              <w:divBdr>
                <w:top w:val="none" w:sz="0" w:space="0" w:color="auto"/>
                <w:left w:val="none" w:sz="0" w:space="0" w:color="auto"/>
                <w:bottom w:val="none" w:sz="0" w:space="0" w:color="auto"/>
                <w:right w:val="none" w:sz="0" w:space="0" w:color="auto"/>
              </w:divBdr>
            </w:div>
            <w:div w:id="362944739">
              <w:marLeft w:val="0"/>
              <w:marRight w:val="0"/>
              <w:marTop w:val="0"/>
              <w:marBottom w:val="0"/>
              <w:divBdr>
                <w:top w:val="none" w:sz="0" w:space="0" w:color="auto"/>
                <w:left w:val="none" w:sz="0" w:space="0" w:color="auto"/>
                <w:bottom w:val="none" w:sz="0" w:space="0" w:color="auto"/>
                <w:right w:val="none" w:sz="0" w:space="0" w:color="auto"/>
              </w:divBdr>
            </w:div>
            <w:div w:id="1521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194">
      <w:bodyDiv w:val="1"/>
      <w:marLeft w:val="0"/>
      <w:marRight w:val="0"/>
      <w:marTop w:val="0"/>
      <w:marBottom w:val="0"/>
      <w:divBdr>
        <w:top w:val="none" w:sz="0" w:space="0" w:color="auto"/>
        <w:left w:val="none" w:sz="0" w:space="0" w:color="auto"/>
        <w:bottom w:val="none" w:sz="0" w:space="0" w:color="auto"/>
        <w:right w:val="none" w:sz="0" w:space="0" w:color="auto"/>
      </w:divBdr>
    </w:div>
    <w:div w:id="1781879911">
      <w:bodyDiv w:val="1"/>
      <w:marLeft w:val="0"/>
      <w:marRight w:val="0"/>
      <w:marTop w:val="0"/>
      <w:marBottom w:val="0"/>
      <w:divBdr>
        <w:top w:val="none" w:sz="0" w:space="0" w:color="auto"/>
        <w:left w:val="none" w:sz="0" w:space="0" w:color="auto"/>
        <w:bottom w:val="none" w:sz="0" w:space="0" w:color="auto"/>
        <w:right w:val="none" w:sz="0" w:space="0" w:color="auto"/>
      </w:divBdr>
    </w:div>
    <w:div w:id="1902327943">
      <w:bodyDiv w:val="1"/>
      <w:marLeft w:val="0"/>
      <w:marRight w:val="0"/>
      <w:marTop w:val="0"/>
      <w:marBottom w:val="0"/>
      <w:divBdr>
        <w:top w:val="none" w:sz="0" w:space="0" w:color="auto"/>
        <w:left w:val="none" w:sz="0" w:space="0" w:color="auto"/>
        <w:bottom w:val="none" w:sz="0" w:space="0" w:color="auto"/>
        <w:right w:val="none" w:sz="0" w:space="0" w:color="auto"/>
      </w:divBdr>
    </w:div>
    <w:div w:id="1996954113">
      <w:bodyDiv w:val="1"/>
      <w:marLeft w:val="0"/>
      <w:marRight w:val="0"/>
      <w:marTop w:val="0"/>
      <w:marBottom w:val="0"/>
      <w:divBdr>
        <w:top w:val="none" w:sz="0" w:space="0" w:color="auto"/>
        <w:left w:val="none" w:sz="0" w:space="0" w:color="auto"/>
        <w:bottom w:val="none" w:sz="0" w:space="0" w:color="auto"/>
        <w:right w:val="none" w:sz="0" w:space="0" w:color="auto"/>
      </w:divBdr>
    </w:div>
    <w:div w:id="20917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839B-5BF4-4683-B3D9-437AA885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1307</Words>
  <Characters>7452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Windows User</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Sylvère Baregensabe</dc:creator>
  <cp:lastModifiedBy>Queen NYENITEKA</cp:lastModifiedBy>
  <cp:revision>2</cp:revision>
  <cp:lastPrinted>2022-10-04T11:35:00Z</cp:lastPrinted>
  <dcterms:created xsi:type="dcterms:W3CDTF">2023-10-06T11:29:00Z</dcterms:created>
  <dcterms:modified xsi:type="dcterms:W3CDTF">2023-10-06T11:29:00Z</dcterms:modified>
</cp:coreProperties>
</file>